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60" w:lineRule="exact"/>
        <w:ind w:firstLine="640" w:firstLineChars="200"/>
        <w:jc w:val="left"/>
        <w:rPr>
          <w:rFonts w:hint="default" w:ascii="黑体" w:hAnsi="黑体" w:eastAsia="黑体" w:cs="黑体"/>
          <w:kern w:val="0"/>
          <w:sz w:val="32"/>
          <w:szCs w:val="32"/>
          <w:lang w:val="en-US" w:eastAsia="zh-CN"/>
        </w:rPr>
      </w:pPr>
      <w:r>
        <w:rPr>
          <w:rFonts w:hint="eastAsia" w:ascii="黑体" w:hAnsi="黑体" w:eastAsia="黑体" w:cs="黑体"/>
          <w:kern w:val="0"/>
          <w:sz w:val="32"/>
          <w:szCs w:val="32"/>
          <w:lang w:eastAsia="zh-CN"/>
        </w:rPr>
        <w:t>附件</w:t>
      </w:r>
      <w:r>
        <w:rPr>
          <w:rFonts w:hint="eastAsia" w:ascii="黑体" w:hAnsi="黑体" w:eastAsia="黑体" w:cs="黑体"/>
          <w:kern w:val="0"/>
          <w:sz w:val="32"/>
          <w:szCs w:val="32"/>
          <w:lang w:val="en-US" w:eastAsia="zh-CN"/>
        </w:rPr>
        <w:t>1</w:t>
      </w:r>
    </w:p>
    <w:p>
      <w:pPr>
        <w:snapToGrid w:val="0"/>
        <w:spacing w:line="560" w:lineRule="exact"/>
        <w:ind w:firstLine="640" w:firstLineChars="200"/>
        <w:rPr>
          <w:rFonts w:hint="eastAsia" w:ascii="黑体" w:hAnsi="黑体" w:eastAsia="黑体" w:cs="黑体"/>
          <w:kern w:val="0"/>
          <w:sz w:val="32"/>
          <w:szCs w:val="32"/>
        </w:rPr>
      </w:pPr>
      <w:r>
        <w:rPr>
          <w:rFonts w:hint="eastAsia" w:ascii="黑体" w:hAnsi="黑体" w:eastAsia="黑体" w:cs="黑体"/>
          <w:kern w:val="0"/>
          <w:sz w:val="32"/>
          <w:szCs w:val="32"/>
        </w:rPr>
        <w:t>一、综合评分方案</w:t>
      </w:r>
    </w:p>
    <w:p>
      <w:pPr>
        <w:snapToGrid w:val="0"/>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每个投标人的评标总得分=指价格项评审因素得分+指技术项评审因素得分+指商务项评审因素得分。计算结果若除不尽，可四舍五入保留到</w:t>
      </w:r>
      <w:r>
        <w:rPr>
          <w:rFonts w:hint="eastAsia" w:ascii="仿宋_GB2312" w:hAnsi="仿宋_GB2312" w:eastAsia="仿宋_GB2312" w:cs="仿宋_GB2312"/>
          <w:kern w:val="0"/>
          <w:sz w:val="32"/>
          <w:szCs w:val="32"/>
        </w:rPr>
        <w:t>小数点后两位。按照评审因素的量化指标评审得分（即评标总得分）最高的投标人为中标候选人。</w:t>
      </w:r>
      <w:bookmarkStart w:id="25" w:name="_GoBack"/>
      <w:bookmarkEnd w:id="25"/>
    </w:p>
    <w:p>
      <w:pPr>
        <w:snapToGrid w:val="0"/>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根据服务商最终报价计算分值，价格分采用低价优先法计算，即满足采购要求且最后报价最低的服务商的价格为基准价，其他服务商的价格分统一按照下列公式计算：报价得分=（基准价／最后报价）×价格分（10.00分）。</w:t>
      </w:r>
    </w:p>
    <w:p>
      <w:pPr>
        <w:snapToGrid w:val="0"/>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（2）技术项，满分为72.00分</w:t>
      </w:r>
    </w:p>
    <w:tbl>
      <w:tblPr>
        <w:tblStyle w:val="2"/>
        <w:tblW w:w="8306"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51"/>
        <w:gridCol w:w="992"/>
        <w:gridCol w:w="536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rPr>
          <w:trHeight w:val="90" w:hRule="atLeast"/>
        </w:trPr>
        <w:tc>
          <w:tcPr>
            <w:tcW w:w="1951" w:type="dxa"/>
            <w:vAlign w:val="center"/>
          </w:tcPr>
          <w:p>
            <w:pPr>
              <w:pStyle w:val="4"/>
              <w:jc w:val="center"/>
              <w:rPr>
                <w:rFonts w:hint="default"/>
              </w:rPr>
            </w:pPr>
            <w:r>
              <w:t>项目</w:t>
            </w:r>
          </w:p>
        </w:tc>
        <w:tc>
          <w:tcPr>
            <w:tcW w:w="992" w:type="dxa"/>
            <w:vAlign w:val="center"/>
          </w:tcPr>
          <w:p>
            <w:pPr>
              <w:pStyle w:val="4"/>
              <w:jc w:val="center"/>
              <w:rPr>
                <w:rFonts w:hint="default"/>
              </w:rPr>
            </w:pPr>
            <w:r>
              <w:t>分值</w:t>
            </w:r>
          </w:p>
        </w:tc>
        <w:tc>
          <w:tcPr>
            <w:tcW w:w="5363" w:type="dxa"/>
            <w:vAlign w:val="center"/>
          </w:tcPr>
          <w:p>
            <w:pPr>
              <w:pStyle w:val="4"/>
              <w:jc w:val="center"/>
              <w:rPr>
                <w:rFonts w:hint="default"/>
              </w:rPr>
            </w:pPr>
            <w:r>
              <w:t>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951" w:type="dxa"/>
            <w:vAlign w:val="center"/>
          </w:tcPr>
          <w:p>
            <w:pPr>
              <w:pStyle w:val="4"/>
              <w:spacing w:line="240" w:lineRule="exact"/>
              <w:jc w:val="center"/>
              <w:rPr>
                <w:rFonts w:hint="default"/>
              </w:rPr>
            </w:pPr>
            <w:bookmarkStart w:id="0" w:name="OLE_LINK3"/>
            <w:r>
              <w:t>技术和服务要求响应情况</w:t>
            </w:r>
            <w:bookmarkEnd w:id="0"/>
          </w:p>
        </w:tc>
        <w:tc>
          <w:tcPr>
            <w:tcW w:w="992" w:type="dxa"/>
            <w:vAlign w:val="center"/>
          </w:tcPr>
          <w:p>
            <w:pPr>
              <w:pStyle w:val="4"/>
              <w:spacing w:line="240" w:lineRule="exact"/>
              <w:jc w:val="center"/>
            </w:pPr>
            <w:r>
              <w:t>51.00</w:t>
            </w:r>
          </w:p>
          <w:p>
            <w:pPr>
              <w:pStyle w:val="4"/>
              <w:spacing w:line="240" w:lineRule="exact"/>
              <w:jc w:val="center"/>
              <w:rPr>
                <w:rFonts w:hint="eastAsia" w:eastAsiaTheme="minorEastAsia"/>
                <w:lang w:eastAsia="zh-CN"/>
              </w:rPr>
            </w:pPr>
            <w:r>
              <w:rPr>
                <w:rFonts w:hint="eastAsia"/>
                <w:lang w:eastAsia="zh-CN"/>
              </w:rPr>
              <w:t>（共</w:t>
            </w:r>
            <w:r>
              <w:rPr>
                <w:rFonts w:hint="eastAsia"/>
                <w:lang w:val="en-US" w:eastAsia="zh-CN"/>
              </w:rPr>
              <w:t>17项，每项3分</w:t>
            </w:r>
            <w:r>
              <w:rPr>
                <w:rFonts w:hint="eastAsia"/>
                <w:lang w:eastAsia="zh-CN"/>
              </w:rPr>
              <w:t>）</w:t>
            </w:r>
          </w:p>
        </w:tc>
        <w:tc>
          <w:tcPr>
            <w:tcW w:w="5363" w:type="dxa"/>
          </w:tcPr>
          <w:p>
            <w:pPr>
              <w:pStyle w:val="4"/>
              <w:spacing w:line="240" w:lineRule="exact"/>
              <w:ind w:firstLine="400" w:firstLineChars="200"/>
              <w:jc w:val="both"/>
              <w:rPr>
                <w:rFonts w:hint="eastAsia" w:eastAsiaTheme="minorEastAsia"/>
                <w:lang w:eastAsia="zh-CN"/>
              </w:rPr>
            </w:pPr>
            <w:r>
              <w:t>根据投标人针对招标内容及要求中“二、技术和服务要求”的逐项响应情况进行评分（需提供技术和服务要求响应表）：①投标人所投服务全部满足要求中“技术和服务要求”的得51分；②“技术和服务要求”中以“★”标示的内容（共计1项）为不允许负偏离的实质性要求，出现负偏离或不满足的其投标无效；③标注评审指标项的技术和服务要求全部满足的得51分，每负偏离一项扣3分，共计</w:t>
            </w:r>
            <w:r>
              <w:rPr>
                <w:color w:val="FF0000"/>
              </w:rPr>
              <w:t>17</w:t>
            </w:r>
            <w:r>
              <w:t>项；④正偏离不加分。评委将按照上述评分标准计算投标人的技术指标得分。【注：①投标人须按照本文件所列的所有技术要求如实地填写逐条响应，并列出正负偏离情况；因编排错乱或响应不完整而导致的不利评审由投标人自行承担。②技术和服务要求中若有要求投标人提供相应佐证材料的，投标人未提供相应佐证材料或者投标人的响应承诺与其佐证材料不一致的，评标委员会将以不利于投标人的内容为准进行评审（负偏离）】。</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951" w:type="dxa"/>
            <w:vAlign w:val="center"/>
          </w:tcPr>
          <w:p>
            <w:pPr>
              <w:pStyle w:val="4"/>
              <w:spacing w:line="240" w:lineRule="exact"/>
              <w:jc w:val="center"/>
              <w:rPr>
                <w:rFonts w:hint="default"/>
              </w:rPr>
            </w:pPr>
            <w:r>
              <w:t>人员管理制度及监管措施</w:t>
            </w:r>
          </w:p>
        </w:tc>
        <w:tc>
          <w:tcPr>
            <w:tcW w:w="992" w:type="dxa"/>
            <w:vAlign w:val="center"/>
          </w:tcPr>
          <w:p>
            <w:pPr>
              <w:pStyle w:val="4"/>
              <w:spacing w:line="240" w:lineRule="exact"/>
              <w:jc w:val="center"/>
              <w:rPr>
                <w:rFonts w:hint="default"/>
              </w:rPr>
            </w:pPr>
            <w:r>
              <w:t>3.00</w:t>
            </w:r>
          </w:p>
        </w:tc>
        <w:tc>
          <w:tcPr>
            <w:tcW w:w="5363" w:type="dxa"/>
          </w:tcPr>
          <w:p>
            <w:pPr>
              <w:pStyle w:val="4"/>
              <w:spacing w:line="240" w:lineRule="exact"/>
              <w:ind w:firstLine="400" w:firstLineChars="200"/>
              <w:rPr>
                <w:rFonts w:hint="default"/>
              </w:rPr>
            </w:pPr>
            <w:r>
              <w:t>根据投标人提供包括①服务人员管理制度、②服务人员的监管措施方案情况，由评标委员会进行评分： ⑴方案包含的要点齐全无缺漏项、内容与要点相符、每个要点均有展开详细的阐述且能够适用于本项目的得3分； ⑵方案所包含的要点有细微缺项、内容与要点相符、每个要点均有展开阐述（没有特别具体）但基本能够适用于本项目的得2.5分； ⑶未提供或内容存在明显错误、内容明显不适用本项目需求的均不得分。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951" w:type="dxa"/>
            <w:vAlign w:val="center"/>
          </w:tcPr>
          <w:p>
            <w:pPr>
              <w:pStyle w:val="4"/>
              <w:spacing w:line="240" w:lineRule="exact"/>
              <w:jc w:val="center"/>
              <w:rPr>
                <w:rFonts w:hint="default"/>
              </w:rPr>
            </w:pPr>
            <w:r>
              <w:t>工作进度计划安排方案情况</w:t>
            </w:r>
          </w:p>
        </w:tc>
        <w:tc>
          <w:tcPr>
            <w:tcW w:w="992" w:type="dxa"/>
            <w:vAlign w:val="center"/>
          </w:tcPr>
          <w:p>
            <w:pPr>
              <w:pStyle w:val="4"/>
              <w:spacing w:line="240" w:lineRule="exact"/>
              <w:jc w:val="center"/>
              <w:rPr>
                <w:rFonts w:hint="default"/>
              </w:rPr>
            </w:pPr>
            <w:r>
              <w:t>3.00</w:t>
            </w:r>
          </w:p>
        </w:tc>
        <w:tc>
          <w:tcPr>
            <w:tcW w:w="5363" w:type="dxa"/>
          </w:tcPr>
          <w:p>
            <w:pPr>
              <w:pStyle w:val="4"/>
              <w:spacing w:line="240" w:lineRule="exact"/>
              <w:ind w:firstLine="400" w:firstLineChars="200"/>
              <w:jc w:val="both"/>
              <w:rPr>
                <w:rFonts w:hint="default"/>
              </w:rPr>
            </w:pPr>
            <w:r>
              <w:t>根据投标人针对本项目提供的工作进度计划安排方案（放射防护预评价工作进度 、控制效果评价工作进度、辐射环评及竣工验收工作进度）进行评分：方案包含的要点齐全无缺漏项、内容与要点相符、内容完善且能够适用于本项目的得3分；方案所包含的要点齐全、内容与要点相符，但仅有纲要内容简略，未展开阐述的得2分；方案所包含的要点有缺漏或内容存在错误的得1分，未提供的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951" w:type="dxa"/>
            <w:vAlign w:val="center"/>
          </w:tcPr>
          <w:p>
            <w:pPr>
              <w:pStyle w:val="4"/>
              <w:spacing w:line="240" w:lineRule="exact"/>
              <w:jc w:val="center"/>
              <w:rPr>
                <w:rFonts w:hint="default"/>
              </w:rPr>
            </w:pPr>
            <w:r>
              <w:t>保障检测结果保密工作方案</w:t>
            </w:r>
          </w:p>
        </w:tc>
        <w:tc>
          <w:tcPr>
            <w:tcW w:w="992" w:type="dxa"/>
            <w:vAlign w:val="center"/>
          </w:tcPr>
          <w:p>
            <w:pPr>
              <w:pStyle w:val="4"/>
              <w:spacing w:line="240" w:lineRule="exact"/>
              <w:jc w:val="center"/>
              <w:rPr>
                <w:rFonts w:hint="default"/>
              </w:rPr>
            </w:pPr>
            <w:r>
              <w:t>3.00</w:t>
            </w:r>
          </w:p>
        </w:tc>
        <w:tc>
          <w:tcPr>
            <w:tcW w:w="5363" w:type="dxa"/>
          </w:tcPr>
          <w:p>
            <w:pPr>
              <w:pStyle w:val="4"/>
              <w:spacing w:line="240" w:lineRule="exact"/>
              <w:ind w:firstLine="400" w:firstLineChars="200"/>
              <w:jc w:val="both"/>
              <w:rPr>
                <w:rFonts w:hint="default"/>
              </w:rPr>
            </w:pPr>
            <w:r>
              <w:t>根据投标人针对本项目提供的保障检测结果保密工作方案进行评分：方案包含的要点齐全无缺漏项、内容与要点相符、内容完善且能够适用于本项目的得3分；方案所包含的要点齐全、内容与要点相符，但仅有纲要内容简略，未展开阐述的得2分；方案所包含的要点有缺漏或内容存在错误的得1分，未提供的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951" w:type="dxa"/>
            <w:vAlign w:val="center"/>
          </w:tcPr>
          <w:p>
            <w:pPr>
              <w:pStyle w:val="4"/>
              <w:spacing w:line="240" w:lineRule="exact"/>
              <w:jc w:val="center"/>
              <w:rPr>
                <w:rFonts w:hint="default"/>
              </w:rPr>
            </w:pPr>
            <w:r>
              <w:t>服务方案情况</w:t>
            </w:r>
          </w:p>
        </w:tc>
        <w:tc>
          <w:tcPr>
            <w:tcW w:w="992" w:type="dxa"/>
            <w:vAlign w:val="center"/>
          </w:tcPr>
          <w:p>
            <w:pPr>
              <w:pStyle w:val="4"/>
              <w:spacing w:line="240" w:lineRule="exact"/>
              <w:jc w:val="center"/>
              <w:rPr>
                <w:rFonts w:hint="default"/>
              </w:rPr>
            </w:pPr>
            <w:r>
              <w:t>3.00</w:t>
            </w:r>
          </w:p>
        </w:tc>
        <w:tc>
          <w:tcPr>
            <w:tcW w:w="5363" w:type="dxa"/>
          </w:tcPr>
          <w:p>
            <w:pPr>
              <w:pStyle w:val="4"/>
              <w:spacing w:line="240" w:lineRule="exact"/>
              <w:ind w:firstLine="400" w:firstLineChars="200"/>
              <w:jc w:val="both"/>
              <w:rPr>
                <w:rFonts w:hint="default"/>
              </w:rPr>
            </w:pPr>
            <w:r>
              <w:t>根据投标人针对本项目提供的服务方案（预评价服务方案、控制效果评价服务方案、辐射环评及竣工验收服务方案）进行评分：方案包含的要点齐全无缺漏项、内容与要点相符、内容完善且能够适用于本项目的得3分；方案所包含的要点齐全、内容与要点相符，但仅有纲要内容简略，未展开阐述的得2分；方案所包含的要点有缺漏或内容存在错误的得1分，未提供的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951" w:type="dxa"/>
            <w:vAlign w:val="center"/>
          </w:tcPr>
          <w:p>
            <w:pPr>
              <w:pStyle w:val="4"/>
              <w:spacing w:line="240" w:lineRule="exact"/>
              <w:jc w:val="center"/>
              <w:rPr>
                <w:rFonts w:hint="default"/>
              </w:rPr>
            </w:pPr>
            <w:r>
              <w:t>质量保证方案情况</w:t>
            </w:r>
          </w:p>
        </w:tc>
        <w:tc>
          <w:tcPr>
            <w:tcW w:w="992" w:type="dxa"/>
            <w:vAlign w:val="center"/>
          </w:tcPr>
          <w:p>
            <w:pPr>
              <w:pStyle w:val="4"/>
              <w:spacing w:line="240" w:lineRule="exact"/>
              <w:jc w:val="center"/>
              <w:rPr>
                <w:rFonts w:hint="default"/>
              </w:rPr>
            </w:pPr>
            <w:r>
              <w:t>3.00</w:t>
            </w:r>
          </w:p>
        </w:tc>
        <w:tc>
          <w:tcPr>
            <w:tcW w:w="5363" w:type="dxa"/>
          </w:tcPr>
          <w:p>
            <w:pPr>
              <w:pStyle w:val="4"/>
              <w:spacing w:line="240" w:lineRule="exact"/>
              <w:ind w:firstLine="400" w:firstLineChars="200"/>
              <w:jc w:val="both"/>
              <w:rPr>
                <w:rFonts w:hint="default"/>
              </w:rPr>
            </w:pPr>
            <w:r>
              <w:t>根据投标人针对本项目提供的质量保证方案进行评分：方案包含的要点齐全无缺漏项、内容与要点相符、内容完善且能够适用于本项目的得3分；方案所包含的要点齐全、内容与要点相符，但仅有纲要内容简略，未展开阐述的得2分；方案所包含的要点有缺漏或内容存在错误的得1分，未提供的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951" w:type="dxa"/>
            <w:vAlign w:val="center"/>
          </w:tcPr>
          <w:p>
            <w:pPr>
              <w:pStyle w:val="4"/>
              <w:spacing w:line="240" w:lineRule="exact"/>
              <w:jc w:val="center"/>
              <w:rPr>
                <w:rFonts w:hint="default"/>
              </w:rPr>
            </w:pPr>
            <w:r>
              <w:t>环境分析情况</w:t>
            </w:r>
          </w:p>
        </w:tc>
        <w:tc>
          <w:tcPr>
            <w:tcW w:w="992" w:type="dxa"/>
            <w:vAlign w:val="center"/>
          </w:tcPr>
          <w:p>
            <w:pPr>
              <w:pStyle w:val="4"/>
              <w:spacing w:line="240" w:lineRule="exact"/>
              <w:jc w:val="center"/>
              <w:rPr>
                <w:rFonts w:hint="default"/>
              </w:rPr>
            </w:pPr>
            <w:r>
              <w:t>3.00</w:t>
            </w:r>
          </w:p>
        </w:tc>
        <w:tc>
          <w:tcPr>
            <w:tcW w:w="5363" w:type="dxa"/>
          </w:tcPr>
          <w:p>
            <w:pPr>
              <w:pStyle w:val="4"/>
              <w:spacing w:line="240" w:lineRule="exact"/>
              <w:ind w:firstLine="400" w:firstLineChars="200"/>
              <w:jc w:val="both"/>
              <w:rPr>
                <w:rFonts w:hint="default"/>
              </w:rPr>
            </w:pPr>
            <w:r>
              <w:t>根据投标人针对本项目提供的环境分析（包含但不限于对环境风险预测分析方案、环境保护设施调试运行效果分析论述方案等）进行评议：方案包含的要点齐全无缺漏项、内容与要点相符、内容完善且能够适用于本项目的得3分；方案所包含的要点齐全、内容与要点相符，但仅有纲要内容简略，未展开阐述的得2分；方案所包含的要点有缺漏或内容存在错误的得1分，未提供的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951" w:type="dxa"/>
            <w:vAlign w:val="center"/>
          </w:tcPr>
          <w:p>
            <w:pPr>
              <w:pStyle w:val="4"/>
              <w:spacing w:line="240" w:lineRule="exact"/>
              <w:jc w:val="center"/>
              <w:rPr>
                <w:rFonts w:hint="default"/>
              </w:rPr>
            </w:pPr>
            <w:r>
              <w:t>仪器设备情况</w:t>
            </w:r>
          </w:p>
        </w:tc>
        <w:tc>
          <w:tcPr>
            <w:tcW w:w="992" w:type="dxa"/>
            <w:vAlign w:val="center"/>
          </w:tcPr>
          <w:p>
            <w:pPr>
              <w:pStyle w:val="4"/>
              <w:spacing w:line="240" w:lineRule="exact"/>
              <w:jc w:val="center"/>
              <w:rPr>
                <w:rFonts w:hint="default"/>
              </w:rPr>
            </w:pPr>
            <w:r>
              <w:t>3.00</w:t>
            </w:r>
          </w:p>
        </w:tc>
        <w:tc>
          <w:tcPr>
            <w:tcW w:w="5363" w:type="dxa"/>
          </w:tcPr>
          <w:p>
            <w:pPr>
              <w:pStyle w:val="4"/>
              <w:spacing w:line="240" w:lineRule="exact"/>
              <w:ind w:firstLine="400" w:firstLineChars="200"/>
              <w:jc w:val="both"/>
              <w:rPr>
                <w:rFonts w:hint="default"/>
              </w:rPr>
            </w:pPr>
            <w:r>
              <w:t>投标人拟投入本项目的常用及专用仪器设备的情况进行评分：提供齐全、完善的常用及专用设备的使用说明及配置情况说明，有助于提高项目服务质量的得3分；有提供常用及专用设备、数量、配置情况的分析使用说明，符合本项目情况，满足招标文件要求的得1.5分；未提供分析说明或分析说明严重偏离本项目实际情况的不得分。</w:t>
            </w:r>
          </w:p>
        </w:tc>
      </w:tr>
    </w:tbl>
    <w:p>
      <w:pPr>
        <w:pStyle w:val="4"/>
        <w:spacing w:line="240" w:lineRule="exact"/>
        <w:jc w:val="both"/>
        <w:rPr>
          <w:rFonts w:hint="default"/>
        </w:rPr>
      </w:pPr>
    </w:p>
    <w:p>
      <w:pPr>
        <w:pStyle w:val="4"/>
        <w:spacing w:line="240" w:lineRule="exact"/>
        <w:jc w:val="both"/>
        <w:rPr>
          <w:rFonts w:hint="default"/>
        </w:rPr>
      </w:pPr>
    </w:p>
    <w:p>
      <w:pPr>
        <w:pStyle w:val="4"/>
        <w:spacing w:line="240" w:lineRule="exact"/>
        <w:jc w:val="both"/>
        <w:rPr>
          <w:rFonts w:hint="default"/>
        </w:rPr>
      </w:pPr>
    </w:p>
    <w:p>
      <w:pPr>
        <w:pStyle w:val="4"/>
        <w:keepNext w:val="0"/>
        <w:keepLines w:val="0"/>
        <w:pageBreakBefore w:val="0"/>
        <w:widowControl/>
        <w:kinsoku/>
        <w:wordWrap/>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color w:val="FF0000"/>
          <w:sz w:val="32"/>
          <w:szCs w:val="32"/>
        </w:rPr>
      </w:pPr>
      <w:r>
        <w:rPr>
          <w:rFonts w:hint="eastAsia" w:ascii="仿宋_GB2312" w:hAnsi="仿宋_GB2312" w:eastAsia="仿宋_GB2312" w:cs="仿宋_GB2312"/>
          <w:sz w:val="32"/>
          <w:szCs w:val="32"/>
        </w:rPr>
        <w:t>商务项满分为18.00分</w:t>
      </w:r>
    </w:p>
    <w:tbl>
      <w:tblPr>
        <w:tblStyle w:val="2"/>
        <w:tblW w:w="8306"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322"/>
        <w:gridCol w:w="831"/>
        <w:gridCol w:w="415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3322" w:type="dxa"/>
            <w:vAlign w:val="center"/>
          </w:tcPr>
          <w:p>
            <w:pPr>
              <w:pStyle w:val="4"/>
              <w:spacing w:line="240" w:lineRule="exact"/>
              <w:jc w:val="center"/>
              <w:rPr>
                <w:rFonts w:hint="default"/>
              </w:rPr>
            </w:pPr>
            <w:r>
              <w:t>项目</w:t>
            </w:r>
          </w:p>
        </w:tc>
        <w:tc>
          <w:tcPr>
            <w:tcW w:w="831" w:type="dxa"/>
            <w:vAlign w:val="center"/>
          </w:tcPr>
          <w:p>
            <w:pPr>
              <w:pStyle w:val="4"/>
              <w:spacing w:line="240" w:lineRule="exact"/>
              <w:jc w:val="center"/>
              <w:rPr>
                <w:rFonts w:hint="default"/>
              </w:rPr>
            </w:pPr>
            <w:r>
              <w:t>分值</w:t>
            </w:r>
          </w:p>
        </w:tc>
        <w:tc>
          <w:tcPr>
            <w:tcW w:w="4153" w:type="dxa"/>
            <w:vAlign w:val="center"/>
          </w:tcPr>
          <w:p>
            <w:pPr>
              <w:pStyle w:val="4"/>
              <w:spacing w:line="240" w:lineRule="exact"/>
              <w:jc w:val="center"/>
              <w:rPr>
                <w:rFonts w:hint="default"/>
              </w:rPr>
            </w:pPr>
            <w:r>
              <w:t>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3322" w:type="dxa"/>
            <w:vAlign w:val="center"/>
          </w:tcPr>
          <w:p>
            <w:pPr>
              <w:pStyle w:val="4"/>
              <w:spacing w:line="240" w:lineRule="exact"/>
              <w:jc w:val="center"/>
              <w:rPr>
                <w:rFonts w:hint="default"/>
              </w:rPr>
            </w:pPr>
            <w:r>
              <w:t>项目经验情况</w:t>
            </w:r>
          </w:p>
        </w:tc>
        <w:tc>
          <w:tcPr>
            <w:tcW w:w="831" w:type="dxa"/>
            <w:vAlign w:val="center"/>
          </w:tcPr>
          <w:p>
            <w:pPr>
              <w:pStyle w:val="4"/>
              <w:spacing w:line="240" w:lineRule="exact"/>
              <w:jc w:val="center"/>
              <w:rPr>
                <w:rFonts w:hint="default"/>
              </w:rPr>
            </w:pPr>
            <w:r>
              <w:t>3.00</w:t>
            </w:r>
          </w:p>
        </w:tc>
        <w:tc>
          <w:tcPr>
            <w:tcW w:w="4153" w:type="dxa"/>
          </w:tcPr>
          <w:p>
            <w:pPr>
              <w:pStyle w:val="4"/>
              <w:spacing w:line="240" w:lineRule="exact"/>
              <w:ind w:firstLine="400" w:firstLineChars="200"/>
              <w:jc w:val="both"/>
              <w:rPr>
                <w:rFonts w:hint="default"/>
              </w:rPr>
            </w:pPr>
            <w:r>
              <w:t>根据</w:t>
            </w:r>
            <w:bookmarkStart w:id="1" w:name="OLE_LINK58"/>
            <w:bookmarkStart w:id="2" w:name="OLE_LINK59"/>
            <w:r>
              <w:t>投标人</w:t>
            </w:r>
            <w:bookmarkEnd w:id="1"/>
            <w:bookmarkEnd w:id="2"/>
            <w:r>
              <w:t>针对本项目提供的2020年1月1日至今承担过类似项目并获得环保部门批复的，每提供一个项目得1分，满分3分。投标人需同时提供合同复印件、环评批复文件或环评批复公示相关材料复印件，未提供或提供不全的不得分。评标过程未提供相关证明文件复印件或填报不实的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3322" w:type="dxa"/>
            <w:vAlign w:val="center"/>
          </w:tcPr>
          <w:p>
            <w:pPr>
              <w:pStyle w:val="4"/>
              <w:spacing w:line="240" w:lineRule="exact"/>
              <w:jc w:val="center"/>
              <w:rPr>
                <w:rFonts w:hint="default"/>
                <w:color w:val="000000" w:themeColor="text1"/>
                <w14:textFill>
                  <w14:solidFill>
                    <w14:schemeClr w14:val="tx1"/>
                  </w14:solidFill>
                </w14:textFill>
              </w:rPr>
            </w:pPr>
            <w:r>
              <w:rPr>
                <w:color w:val="000000" w:themeColor="text1"/>
                <w14:textFill>
                  <w14:solidFill>
                    <w14:schemeClr w14:val="tx1"/>
                  </w14:solidFill>
                </w14:textFill>
              </w:rPr>
              <w:t>相关证件</w:t>
            </w:r>
          </w:p>
        </w:tc>
        <w:tc>
          <w:tcPr>
            <w:tcW w:w="831" w:type="dxa"/>
            <w:vAlign w:val="center"/>
          </w:tcPr>
          <w:p>
            <w:pPr>
              <w:pStyle w:val="4"/>
              <w:spacing w:line="240" w:lineRule="exact"/>
              <w:jc w:val="center"/>
              <w:rPr>
                <w:rFonts w:hint="default"/>
                <w:color w:val="000000" w:themeColor="text1"/>
                <w14:textFill>
                  <w14:solidFill>
                    <w14:schemeClr w14:val="tx1"/>
                  </w14:solidFill>
                </w14:textFill>
              </w:rPr>
            </w:pPr>
            <w:r>
              <w:rPr>
                <w:color w:val="000000" w:themeColor="text1"/>
                <w14:textFill>
                  <w14:solidFill>
                    <w14:schemeClr w14:val="tx1"/>
                  </w14:solidFill>
                </w14:textFill>
              </w:rPr>
              <w:t>3.00</w:t>
            </w:r>
          </w:p>
        </w:tc>
        <w:tc>
          <w:tcPr>
            <w:tcW w:w="4153" w:type="dxa"/>
          </w:tcPr>
          <w:p>
            <w:pPr>
              <w:pStyle w:val="4"/>
              <w:spacing w:line="240" w:lineRule="exact"/>
              <w:ind w:firstLine="400" w:firstLineChars="200"/>
              <w:jc w:val="both"/>
              <w:rPr>
                <w:rFonts w:hint="default"/>
              </w:rPr>
            </w:pPr>
            <w:r>
              <w:t>投标人具有健康安全管理体系认证证书、质量管理体系、环境管理体系认证证书，以上证书每提供一张证书，得1分，满分3分。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3322" w:type="dxa"/>
            <w:vAlign w:val="center"/>
          </w:tcPr>
          <w:p>
            <w:pPr>
              <w:pStyle w:val="4"/>
              <w:spacing w:line="240" w:lineRule="exact"/>
              <w:jc w:val="center"/>
              <w:rPr>
                <w:rFonts w:hint="default"/>
                <w:color w:val="000000" w:themeColor="text1"/>
                <w14:textFill>
                  <w14:solidFill>
                    <w14:schemeClr w14:val="tx1"/>
                  </w14:solidFill>
                </w14:textFill>
              </w:rPr>
            </w:pPr>
            <w:r>
              <w:rPr>
                <w:color w:val="000000" w:themeColor="text1"/>
                <w14:textFill>
                  <w14:solidFill>
                    <w14:schemeClr w14:val="tx1"/>
                  </w14:solidFill>
                </w14:textFill>
              </w:rPr>
              <w:t>项目负责人情况</w:t>
            </w:r>
          </w:p>
        </w:tc>
        <w:tc>
          <w:tcPr>
            <w:tcW w:w="831" w:type="dxa"/>
            <w:vAlign w:val="center"/>
          </w:tcPr>
          <w:p>
            <w:pPr>
              <w:pStyle w:val="4"/>
              <w:spacing w:line="240" w:lineRule="exact"/>
              <w:jc w:val="center"/>
              <w:rPr>
                <w:rFonts w:hint="default"/>
                <w:color w:val="000000" w:themeColor="text1"/>
                <w14:textFill>
                  <w14:solidFill>
                    <w14:schemeClr w14:val="tx1"/>
                  </w14:solidFill>
                </w14:textFill>
              </w:rPr>
            </w:pPr>
            <w:r>
              <w:rPr>
                <w:color w:val="000000" w:themeColor="text1"/>
                <w14:textFill>
                  <w14:solidFill>
                    <w14:schemeClr w14:val="tx1"/>
                  </w14:solidFill>
                </w14:textFill>
              </w:rPr>
              <w:t>3.00</w:t>
            </w:r>
          </w:p>
        </w:tc>
        <w:tc>
          <w:tcPr>
            <w:tcW w:w="4153" w:type="dxa"/>
          </w:tcPr>
          <w:p>
            <w:pPr>
              <w:pStyle w:val="4"/>
              <w:spacing w:line="240" w:lineRule="exact"/>
              <w:ind w:firstLine="400" w:firstLineChars="200"/>
              <w:jc w:val="both"/>
              <w:rPr>
                <w:rFonts w:hint="default"/>
              </w:rPr>
            </w:pPr>
            <w:r>
              <w:t>项目负责人同时具备环境影响评价工程师职业资格证书、核安全工程师职业资格证书和环境类高级职称的得3分；项目负责人同时具备环境影响评价工程师职业资格证书和核安全工程师职业资格证书得1分，其余情况不得分。投标人需提供上述人员身份证复印件、相关证书复印件及投标文件递交截止时间前六个月内（不含投标文件递交截止时间当月）任意一个月投标为其缴纳的社保证明材料，未提供或提供不全的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3322" w:type="dxa"/>
            <w:vAlign w:val="center"/>
          </w:tcPr>
          <w:p>
            <w:pPr>
              <w:pStyle w:val="4"/>
              <w:spacing w:line="240" w:lineRule="exact"/>
              <w:jc w:val="center"/>
              <w:rPr>
                <w:rFonts w:hint="default"/>
              </w:rPr>
            </w:pPr>
            <w:r>
              <w:t>验收方案情况</w:t>
            </w:r>
          </w:p>
        </w:tc>
        <w:tc>
          <w:tcPr>
            <w:tcW w:w="831" w:type="dxa"/>
            <w:vAlign w:val="center"/>
          </w:tcPr>
          <w:p>
            <w:pPr>
              <w:pStyle w:val="4"/>
              <w:spacing w:line="240" w:lineRule="exact"/>
              <w:jc w:val="center"/>
              <w:rPr>
                <w:rFonts w:hint="default"/>
              </w:rPr>
            </w:pPr>
            <w:r>
              <w:t>3.00</w:t>
            </w:r>
          </w:p>
        </w:tc>
        <w:tc>
          <w:tcPr>
            <w:tcW w:w="4153" w:type="dxa"/>
          </w:tcPr>
          <w:p>
            <w:pPr>
              <w:pStyle w:val="4"/>
              <w:spacing w:line="240" w:lineRule="exact"/>
              <w:ind w:firstLine="400" w:firstLineChars="200"/>
              <w:jc w:val="both"/>
              <w:rPr>
                <w:rFonts w:hint="default"/>
              </w:rPr>
            </w:pPr>
            <w:r>
              <w:t>根据投标人针对本项目提供的验收方案（包含但不限于验收监测执行标准分析、验收监测结果说明、验收环境管理检查论述等）进行评分：方案包含的要点齐全无缺漏项、内容与要点相符、内容完善且能够适用于本项目的得3分；方案所包含的要点齐全、内容与要点相符，但仅有纲要内容简略，未展开阐述的得2分；方案所包含的要点有缺漏或内容存在错误的得1分，未提供的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3322" w:type="dxa"/>
            <w:vAlign w:val="center"/>
          </w:tcPr>
          <w:p>
            <w:pPr>
              <w:pStyle w:val="4"/>
              <w:spacing w:line="240" w:lineRule="exact"/>
              <w:jc w:val="center"/>
              <w:rPr>
                <w:rFonts w:hint="default"/>
              </w:rPr>
            </w:pPr>
            <w:r>
              <w:t>人员配备情况</w:t>
            </w:r>
          </w:p>
        </w:tc>
        <w:tc>
          <w:tcPr>
            <w:tcW w:w="831" w:type="dxa"/>
            <w:vAlign w:val="center"/>
          </w:tcPr>
          <w:p>
            <w:pPr>
              <w:pStyle w:val="4"/>
              <w:spacing w:line="240" w:lineRule="exact"/>
              <w:jc w:val="center"/>
              <w:rPr>
                <w:rFonts w:hint="default"/>
              </w:rPr>
            </w:pPr>
            <w:r>
              <w:t>3.00</w:t>
            </w:r>
          </w:p>
        </w:tc>
        <w:tc>
          <w:tcPr>
            <w:tcW w:w="4153" w:type="dxa"/>
          </w:tcPr>
          <w:p>
            <w:pPr>
              <w:snapToGrid w:val="0"/>
              <w:spacing w:line="240" w:lineRule="exact"/>
              <w:ind w:firstLine="400" w:firstLineChars="200"/>
              <w:jc w:val="left"/>
            </w:pPr>
            <w:r>
              <w:rPr>
                <w:rFonts w:hint="eastAsia"/>
                <w:kern w:val="0"/>
                <w:sz w:val="20"/>
                <w:szCs w:val="20"/>
              </w:rPr>
              <w:t>投标人注册环评工程师≥8</w:t>
            </w:r>
            <w:r>
              <w:rPr>
                <w:kern w:val="0"/>
                <w:sz w:val="20"/>
                <w:szCs w:val="20"/>
              </w:rPr>
              <w:t>人的得3分；</w:t>
            </w:r>
            <w:r>
              <w:rPr>
                <w:rFonts w:hint="eastAsia"/>
                <w:kern w:val="0"/>
                <w:sz w:val="20"/>
                <w:szCs w:val="20"/>
              </w:rPr>
              <w:t>6</w:t>
            </w:r>
            <w:r>
              <w:rPr>
                <w:kern w:val="0"/>
                <w:sz w:val="20"/>
                <w:szCs w:val="20"/>
              </w:rPr>
              <w:t>人≤注册环评工程师＜</w:t>
            </w:r>
            <w:r>
              <w:rPr>
                <w:rFonts w:hint="eastAsia"/>
                <w:kern w:val="0"/>
                <w:sz w:val="20"/>
                <w:szCs w:val="20"/>
              </w:rPr>
              <w:t>8</w:t>
            </w:r>
            <w:r>
              <w:rPr>
                <w:kern w:val="0"/>
                <w:sz w:val="20"/>
                <w:szCs w:val="20"/>
              </w:rPr>
              <w:t>人的得2分；</w:t>
            </w:r>
            <w:r>
              <w:rPr>
                <w:rFonts w:hint="eastAsia"/>
                <w:kern w:val="0"/>
                <w:sz w:val="20"/>
                <w:szCs w:val="20"/>
              </w:rPr>
              <w:t>4</w:t>
            </w:r>
            <w:r>
              <w:rPr>
                <w:kern w:val="0"/>
                <w:sz w:val="20"/>
                <w:szCs w:val="20"/>
              </w:rPr>
              <w:t>人≤注册环评工程师＜</w:t>
            </w:r>
            <w:r>
              <w:rPr>
                <w:rFonts w:hint="eastAsia"/>
                <w:kern w:val="0"/>
                <w:sz w:val="20"/>
                <w:szCs w:val="20"/>
              </w:rPr>
              <w:t>6</w:t>
            </w:r>
            <w:r>
              <w:rPr>
                <w:kern w:val="0"/>
                <w:sz w:val="20"/>
                <w:szCs w:val="20"/>
              </w:rPr>
              <w:t>人的得1分；注册环评工程师</w:t>
            </w:r>
            <w:r>
              <w:rPr>
                <w:rFonts w:hint="eastAsia"/>
                <w:sz w:val="20"/>
                <w:szCs w:val="20"/>
              </w:rPr>
              <w:t>少于4</w:t>
            </w:r>
            <w:r>
              <w:rPr>
                <w:sz w:val="20"/>
                <w:szCs w:val="20"/>
              </w:rPr>
              <w:t>人的不得分。须提供提资格证书、环境影响评价信用</w:t>
            </w:r>
            <w:r>
              <w:rPr>
                <w:rFonts w:hint="eastAsia"/>
                <w:sz w:val="20"/>
                <w:szCs w:val="20"/>
              </w:rPr>
              <w:t>平台截图证明和投标截止时间前6</w:t>
            </w:r>
            <w:r>
              <w:rPr>
                <w:sz w:val="20"/>
                <w:szCs w:val="20"/>
              </w:rPr>
              <w:t>个月（不含开标当月）任</w:t>
            </w:r>
            <w:r>
              <w:rPr>
                <w:rFonts w:hint="eastAsia"/>
                <w:sz w:val="20"/>
                <w:szCs w:val="20"/>
              </w:rPr>
              <w:t>一个月投标人为相应技术人员缴纳社保证明材料复印件。未提供证明材料的不得分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3322" w:type="dxa"/>
            <w:vAlign w:val="center"/>
          </w:tcPr>
          <w:p>
            <w:pPr>
              <w:pStyle w:val="4"/>
              <w:spacing w:line="240" w:lineRule="exact"/>
              <w:jc w:val="center"/>
              <w:rPr>
                <w:rFonts w:hint="default"/>
              </w:rPr>
            </w:pPr>
            <w:r>
              <w:t>满意度</w:t>
            </w:r>
          </w:p>
        </w:tc>
        <w:tc>
          <w:tcPr>
            <w:tcW w:w="831" w:type="dxa"/>
            <w:vAlign w:val="center"/>
          </w:tcPr>
          <w:p>
            <w:pPr>
              <w:pStyle w:val="4"/>
              <w:spacing w:line="240" w:lineRule="exact"/>
              <w:jc w:val="center"/>
              <w:rPr>
                <w:rFonts w:hint="default"/>
              </w:rPr>
            </w:pPr>
            <w:r>
              <w:t>3.00</w:t>
            </w:r>
          </w:p>
        </w:tc>
        <w:tc>
          <w:tcPr>
            <w:tcW w:w="4153" w:type="dxa"/>
          </w:tcPr>
          <w:p>
            <w:pPr>
              <w:snapToGrid w:val="0"/>
              <w:spacing w:line="240" w:lineRule="exact"/>
              <w:ind w:firstLine="400" w:firstLineChars="200"/>
              <w:jc w:val="left"/>
              <w:rPr>
                <w:kern w:val="0"/>
                <w:sz w:val="20"/>
                <w:szCs w:val="20"/>
              </w:rPr>
            </w:pPr>
            <w:r>
              <w:rPr>
                <w:rFonts w:hint="eastAsia"/>
                <w:kern w:val="0"/>
                <w:sz w:val="20"/>
                <w:szCs w:val="20"/>
              </w:rPr>
              <w:t>根据投标人</w:t>
            </w:r>
            <w:r>
              <w:rPr>
                <w:kern w:val="0"/>
                <w:sz w:val="20"/>
                <w:szCs w:val="20"/>
              </w:rPr>
              <w:t>202</w:t>
            </w:r>
            <w:r>
              <w:rPr>
                <w:rFonts w:hint="eastAsia"/>
                <w:kern w:val="0"/>
                <w:sz w:val="20"/>
                <w:szCs w:val="20"/>
              </w:rPr>
              <w:t>0</w:t>
            </w:r>
            <w:r>
              <w:rPr>
                <w:kern w:val="0"/>
                <w:sz w:val="20"/>
                <w:szCs w:val="20"/>
              </w:rPr>
              <w:t>年1月1日至投标截止时间止（以合同签订</w:t>
            </w:r>
            <w:r>
              <w:rPr>
                <w:rFonts w:hint="eastAsia"/>
                <w:kern w:val="0"/>
                <w:sz w:val="20"/>
                <w:szCs w:val="20"/>
              </w:rPr>
              <w:t>时间为准）完成的与本项目类似的业绩（环评或竣工验收项目）获得采购人的满意度评价情况进行评议，每提供一份满意度评价为“优”或“满意”或同等表述的证明材料的得</w:t>
            </w:r>
            <w:r>
              <w:rPr>
                <w:kern w:val="0"/>
                <w:sz w:val="20"/>
                <w:szCs w:val="20"/>
              </w:rPr>
              <w:t>1分，</w:t>
            </w:r>
            <w:r>
              <w:rPr>
                <w:rFonts w:hint="eastAsia"/>
                <w:kern w:val="0"/>
                <w:sz w:val="20"/>
                <w:szCs w:val="20"/>
              </w:rPr>
              <w:t>满分</w:t>
            </w:r>
            <w:r>
              <w:rPr>
                <w:kern w:val="0"/>
                <w:sz w:val="20"/>
                <w:szCs w:val="20"/>
              </w:rPr>
              <w:t>3分。需提供加盖采购人公章的服务评价表和合同。注</w:t>
            </w:r>
            <w:r>
              <w:rPr>
                <w:rFonts w:hint="eastAsia"/>
                <w:kern w:val="0"/>
                <w:sz w:val="20"/>
                <w:szCs w:val="20"/>
              </w:rPr>
              <w:t>：同一采购单位的服务评价意见不重复得分。若投标人所提供的项目与“项目经验情况”评分项的项目有重复的，不重复得分。</w:t>
            </w:r>
          </w:p>
        </w:tc>
      </w:tr>
    </w:tbl>
    <w:p>
      <w:pPr>
        <w:pStyle w:val="4"/>
        <w:jc w:val="both"/>
        <w:outlineLvl w:val="2"/>
        <w:rPr>
          <w:rFonts w:hint="eastAsia" w:ascii="黑体" w:hAnsi="黑体" w:eastAsia="黑体" w:cs="黑体"/>
          <w:sz w:val="32"/>
          <w:szCs w:val="32"/>
        </w:rPr>
      </w:pPr>
      <w:r>
        <w:rPr>
          <w:rFonts w:hint="eastAsia" w:ascii="黑体" w:hAnsi="黑体" w:eastAsia="黑体" w:cs="黑体"/>
          <w:b/>
          <w:sz w:val="32"/>
          <w:szCs w:val="32"/>
        </w:rPr>
        <w:t>二、技术和服务要求（以“★”标示的内容为不允许负偏离的实质性要求）</w:t>
      </w:r>
    </w:p>
    <w:p>
      <w:pPr>
        <w:pStyle w:val="4"/>
        <w:rPr>
          <w:rFonts w:hint="eastAsia" w:ascii="仿宋_GB2312" w:hAnsi="仿宋_GB2312" w:eastAsia="仿宋_GB2312" w:cs="仿宋_GB2312"/>
          <w:b/>
          <w:bCs w:val="0"/>
          <w:sz w:val="32"/>
          <w:szCs w:val="32"/>
        </w:rPr>
      </w:pPr>
      <w:r>
        <w:rPr>
          <w:rFonts w:hint="eastAsia" w:ascii="仿宋_GB2312" w:hAnsi="仿宋_GB2312" w:eastAsia="仿宋_GB2312" w:cs="仿宋_GB2312"/>
          <w:b/>
          <w:bCs w:val="0"/>
          <w:color w:val="000000"/>
          <w:sz w:val="32"/>
          <w:szCs w:val="32"/>
          <w:shd w:val="clear" w:color="auto" w:fill="FFFFFF"/>
        </w:rPr>
        <w:t>（一）服务内容</w:t>
      </w:r>
    </w:p>
    <w:p>
      <w:pPr>
        <w:pStyle w:val="4"/>
        <w:keepNext w:val="0"/>
        <w:keepLines w:val="0"/>
        <w:pageBreakBefore w:val="0"/>
        <w:kinsoku/>
        <w:wordWrap/>
        <w:overflowPunct/>
        <w:topLinePunct w:val="0"/>
        <w:autoSpaceDE/>
        <w:autoSpaceDN/>
        <w:bidi w:val="0"/>
        <w:adjustRightInd/>
        <w:spacing w:line="520" w:lineRule="exact"/>
        <w:ind w:firstLine="420"/>
        <w:jc w:val="both"/>
        <w:textAlignment w:val="auto"/>
        <w:rPr>
          <w:rFonts w:hint="eastAsia" w:ascii="仿宋_GB2312" w:hAnsi="仿宋_GB2312" w:eastAsia="仿宋_GB2312" w:cs="仿宋_GB2312"/>
          <w:color w:val="000000"/>
          <w:sz w:val="32"/>
          <w:szCs w:val="32"/>
          <w:shd w:val="clear" w:color="auto" w:fill="FFFFFF"/>
        </w:rPr>
      </w:pPr>
      <w:bookmarkStart w:id="3" w:name="OLE_LINK27"/>
      <w:r>
        <w:rPr>
          <w:rFonts w:hint="eastAsia" w:ascii="仿宋_GB2312" w:hAnsi="仿宋_GB2312" w:eastAsia="仿宋_GB2312" w:cs="仿宋_GB2312"/>
          <w:color w:val="000000"/>
          <w:sz w:val="32"/>
          <w:szCs w:val="32"/>
          <w:shd w:val="clear" w:color="auto" w:fill="FFFFFF"/>
        </w:rPr>
        <w:t>★1</w:t>
      </w:r>
      <w:r>
        <w:rPr>
          <w:rFonts w:hint="eastAsia" w:ascii="仿宋_GB2312" w:hAnsi="仿宋_GB2312" w:eastAsia="仿宋_GB2312" w:cs="仿宋_GB2312"/>
          <w:color w:val="000000"/>
          <w:sz w:val="32"/>
          <w:szCs w:val="32"/>
          <w:shd w:val="clear" w:color="auto" w:fill="FFFFFF"/>
          <w:lang w:val="en-US" w:eastAsia="zh-CN"/>
        </w:rPr>
        <w:t>.</w:t>
      </w:r>
      <w:r>
        <w:rPr>
          <w:rFonts w:hint="eastAsia" w:ascii="仿宋_GB2312" w:hAnsi="仿宋_GB2312" w:eastAsia="仿宋_GB2312" w:cs="仿宋_GB2312"/>
          <w:color w:val="000000"/>
          <w:sz w:val="32"/>
          <w:szCs w:val="32"/>
          <w:shd w:val="clear" w:color="auto" w:fill="FFFFFF"/>
        </w:rPr>
        <w:t>按本项目的设备，即DSA和数字乳腺X射线系统，需要按相关规定做放射设备防护预评价、职业病危害控制效果评价及环评，</w:t>
      </w:r>
      <w:bookmarkStart w:id="4" w:name="OLE_LINK29"/>
      <w:r>
        <w:rPr>
          <w:rFonts w:hint="eastAsia" w:ascii="仿宋_GB2312" w:hAnsi="仿宋_GB2312" w:eastAsia="仿宋_GB2312" w:cs="仿宋_GB2312"/>
          <w:color w:val="000000"/>
          <w:sz w:val="32"/>
          <w:szCs w:val="32"/>
          <w:shd w:val="clear" w:color="auto" w:fill="FFFFFF"/>
          <w:lang w:eastAsia="zh-CN"/>
        </w:rPr>
        <w:t>预控评竣工验收，</w:t>
      </w:r>
      <w:bookmarkEnd w:id="4"/>
      <w:r>
        <w:rPr>
          <w:rFonts w:hint="eastAsia" w:ascii="仿宋_GB2312" w:hAnsi="仿宋_GB2312" w:eastAsia="仿宋_GB2312" w:cs="仿宋_GB2312"/>
          <w:color w:val="000000"/>
          <w:sz w:val="32"/>
          <w:szCs w:val="32"/>
          <w:shd w:val="clear" w:color="auto" w:fill="FFFFFF"/>
        </w:rPr>
        <w:t>环保竣工验收，包含整个过程的所有费用。</w:t>
      </w:r>
    </w:p>
    <w:bookmarkEnd w:id="3"/>
    <w:p>
      <w:pPr>
        <w:pStyle w:val="4"/>
        <w:keepNext w:val="0"/>
        <w:keepLines w:val="0"/>
        <w:pageBreakBefore w:val="0"/>
        <w:kinsoku/>
        <w:wordWrap/>
        <w:overflowPunct/>
        <w:topLinePunct w:val="0"/>
        <w:autoSpaceDE/>
        <w:autoSpaceDN/>
        <w:bidi w:val="0"/>
        <w:adjustRightInd/>
        <w:spacing w:line="520" w:lineRule="exact"/>
        <w:ind w:firstLine="42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shd w:val="clear" w:color="auto" w:fill="FFFFFF"/>
        </w:rPr>
        <w:t>（评审指标1）2</w:t>
      </w:r>
      <w:r>
        <w:rPr>
          <w:rFonts w:hint="eastAsia" w:ascii="仿宋_GB2312" w:hAnsi="仿宋_GB2312" w:eastAsia="仿宋_GB2312" w:cs="仿宋_GB2312"/>
          <w:color w:val="000000"/>
          <w:sz w:val="32"/>
          <w:szCs w:val="32"/>
          <w:shd w:val="clear" w:color="auto" w:fill="FFFFFF"/>
          <w:lang w:val="en-US" w:eastAsia="zh-CN"/>
        </w:rPr>
        <w:t>.</w:t>
      </w:r>
      <w:bookmarkStart w:id="5" w:name="OLE_LINK17"/>
      <w:r>
        <w:rPr>
          <w:rFonts w:hint="eastAsia" w:ascii="仿宋_GB2312" w:hAnsi="仿宋_GB2312" w:eastAsia="仿宋_GB2312" w:cs="仿宋_GB2312"/>
          <w:color w:val="000000"/>
          <w:sz w:val="32"/>
          <w:szCs w:val="32"/>
          <w:shd w:val="clear" w:color="auto" w:fill="FFFFFF"/>
        </w:rPr>
        <w:t>编制建设项目职业病危害放射防护预评价报告（含专家评审会及费用）并负责取得福建省卫健委的预评批复文件；</w:t>
      </w:r>
    </w:p>
    <w:bookmarkEnd w:id="5"/>
    <w:p>
      <w:pPr>
        <w:pStyle w:val="4"/>
        <w:keepNext w:val="0"/>
        <w:keepLines w:val="0"/>
        <w:pageBreakBefore w:val="0"/>
        <w:kinsoku/>
        <w:wordWrap/>
        <w:overflowPunct/>
        <w:topLinePunct w:val="0"/>
        <w:autoSpaceDE/>
        <w:autoSpaceDN/>
        <w:bidi w:val="0"/>
        <w:adjustRightInd/>
        <w:spacing w:line="520" w:lineRule="exact"/>
        <w:ind w:firstLine="42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shd w:val="clear" w:color="auto" w:fill="FFFFFF"/>
        </w:rPr>
        <w:t>（评审指标2）3</w:t>
      </w:r>
      <w:r>
        <w:rPr>
          <w:rFonts w:hint="eastAsia" w:ascii="仿宋_GB2312" w:hAnsi="仿宋_GB2312" w:eastAsia="仿宋_GB2312" w:cs="仿宋_GB2312"/>
          <w:color w:val="000000"/>
          <w:sz w:val="32"/>
          <w:szCs w:val="32"/>
          <w:shd w:val="clear" w:color="auto" w:fill="FFFFFF"/>
          <w:lang w:val="en-US" w:eastAsia="zh-CN"/>
        </w:rPr>
        <w:t>.</w:t>
      </w:r>
      <w:bookmarkStart w:id="6" w:name="OLE_LINK18"/>
      <w:r>
        <w:rPr>
          <w:rFonts w:hint="eastAsia" w:ascii="仿宋_GB2312" w:hAnsi="仿宋_GB2312" w:eastAsia="仿宋_GB2312" w:cs="仿宋_GB2312"/>
          <w:color w:val="000000"/>
          <w:sz w:val="32"/>
          <w:szCs w:val="32"/>
          <w:shd w:val="clear" w:color="auto" w:fill="FFFFFF"/>
        </w:rPr>
        <w:t>编制建设项目放射性职业病危害控制效果评价报告（含专家评审会及费用）并负责通过福建省卫健委的放射诊疗建设项目职业病放射防护设施竣工验收，取得验收批复文件；</w:t>
      </w:r>
    </w:p>
    <w:bookmarkEnd w:id="6"/>
    <w:p>
      <w:pPr>
        <w:pStyle w:val="4"/>
        <w:keepNext w:val="0"/>
        <w:keepLines w:val="0"/>
        <w:pageBreakBefore w:val="0"/>
        <w:kinsoku/>
        <w:wordWrap/>
        <w:overflowPunct/>
        <w:topLinePunct w:val="0"/>
        <w:autoSpaceDE/>
        <w:autoSpaceDN/>
        <w:bidi w:val="0"/>
        <w:adjustRightInd/>
        <w:spacing w:line="520" w:lineRule="exact"/>
        <w:ind w:firstLine="42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shd w:val="clear" w:color="auto" w:fill="FFFFFF"/>
        </w:rPr>
        <w:t>（评审指标3）4</w:t>
      </w:r>
      <w:r>
        <w:rPr>
          <w:rFonts w:hint="eastAsia" w:ascii="仿宋_GB2312" w:hAnsi="仿宋_GB2312" w:eastAsia="仿宋_GB2312" w:cs="仿宋_GB2312"/>
          <w:color w:val="000000"/>
          <w:sz w:val="32"/>
          <w:szCs w:val="32"/>
          <w:shd w:val="clear" w:color="auto" w:fill="FFFFFF"/>
          <w:lang w:val="en-US" w:eastAsia="zh-CN"/>
        </w:rPr>
        <w:t>.</w:t>
      </w:r>
      <w:bookmarkStart w:id="7" w:name="OLE_LINK19"/>
      <w:r>
        <w:rPr>
          <w:rFonts w:hint="eastAsia" w:ascii="仿宋_GB2312" w:hAnsi="仿宋_GB2312" w:eastAsia="仿宋_GB2312" w:cs="仿宋_GB2312"/>
          <w:color w:val="000000"/>
          <w:sz w:val="32"/>
          <w:szCs w:val="32"/>
          <w:shd w:val="clear" w:color="auto" w:fill="FFFFFF"/>
        </w:rPr>
        <w:t>编制辐射环评报告（含专家评审及费用）并负责取得福建环保主管部门的审批批复；</w:t>
      </w:r>
    </w:p>
    <w:bookmarkEnd w:id="7"/>
    <w:p>
      <w:pPr>
        <w:pStyle w:val="4"/>
        <w:keepNext w:val="0"/>
        <w:keepLines w:val="0"/>
        <w:pageBreakBefore w:val="0"/>
        <w:kinsoku/>
        <w:wordWrap/>
        <w:overflowPunct/>
        <w:topLinePunct w:val="0"/>
        <w:autoSpaceDE/>
        <w:autoSpaceDN/>
        <w:bidi w:val="0"/>
        <w:adjustRightInd/>
        <w:spacing w:line="520" w:lineRule="exact"/>
        <w:ind w:firstLine="42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shd w:val="clear" w:color="auto" w:fill="FFFFFF"/>
        </w:rPr>
        <w:t>（评审指标4）5</w:t>
      </w:r>
      <w:r>
        <w:rPr>
          <w:rFonts w:hint="eastAsia" w:ascii="仿宋_GB2312" w:hAnsi="仿宋_GB2312" w:eastAsia="仿宋_GB2312" w:cs="仿宋_GB2312"/>
          <w:color w:val="000000"/>
          <w:sz w:val="32"/>
          <w:szCs w:val="32"/>
          <w:shd w:val="clear" w:color="auto" w:fill="FFFFFF"/>
          <w:lang w:val="en-US" w:eastAsia="zh-CN"/>
        </w:rPr>
        <w:t>.</w:t>
      </w:r>
      <w:bookmarkStart w:id="8" w:name="OLE_LINK20"/>
      <w:r>
        <w:rPr>
          <w:rFonts w:hint="eastAsia" w:ascii="仿宋_GB2312" w:hAnsi="仿宋_GB2312" w:eastAsia="仿宋_GB2312" w:cs="仿宋_GB2312"/>
          <w:color w:val="000000"/>
          <w:sz w:val="32"/>
          <w:szCs w:val="32"/>
          <w:shd w:val="clear" w:color="auto" w:fill="FFFFFF"/>
        </w:rPr>
        <w:t>根据本项目环境影响报告表完成竣工环境保护验收编制工作，配合招标人参加专家论证会、评审会，根据专家意见修改完善竣工环境保护验收监测报告并报审，完成项目验收相关工作。</w:t>
      </w:r>
    </w:p>
    <w:bookmarkEnd w:id="8"/>
    <w:p>
      <w:pPr>
        <w:pStyle w:val="4"/>
        <w:keepNext w:val="0"/>
        <w:keepLines w:val="0"/>
        <w:pageBreakBefore w:val="0"/>
        <w:kinsoku/>
        <w:wordWrap/>
        <w:overflowPunct/>
        <w:topLinePunct w:val="0"/>
        <w:autoSpaceDE/>
        <w:autoSpaceDN/>
        <w:bidi w:val="0"/>
        <w:adjustRightInd/>
        <w:spacing w:line="520" w:lineRule="exact"/>
        <w:textAlignment w:val="auto"/>
        <w:rPr>
          <w:rFonts w:hint="eastAsia" w:ascii="仿宋_GB2312" w:hAnsi="仿宋_GB2312" w:eastAsia="仿宋_GB2312" w:cs="仿宋_GB2312"/>
          <w:b/>
          <w:bCs w:val="0"/>
          <w:color w:val="000000"/>
          <w:sz w:val="32"/>
          <w:szCs w:val="32"/>
          <w:shd w:val="clear" w:color="auto" w:fill="FFFFFF"/>
        </w:rPr>
      </w:pPr>
      <w:r>
        <w:rPr>
          <w:rFonts w:hint="eastAsia" w:ascii="仿宋_GB2312" w:hAnsi="仿宋_GB2312" w:eastAsia="仿宋_GB2312" w:cs="仿宋_GB2312"/>
          <w:b/>
          <w:bCs w:val="0"/>
          <w:color w:val="000000"/>
          <w:sz w:val="32"/>
          <w:szCs w:val="32"/>
          <w:shd w:val="clear" w:color="auto" w:fill="FFFFFF"/>
        </w:rPr>
        <w:t>（二）相关技术服务要求</w:t>
      </w:r>
    </w:p>
    <w:p>
      <w:pPr>
        <w:pStyle w:val="4"/>
        <w:keepNext w:val="0"/>
        <w:keepLines w:val="0"/>
        <w:pageBreakBefore w:val="0"/>
        <w:kinsoku/>
        <w:wordWrap/>
        <w:overflowPunct/>
        <w:topLinePunct w:val="0"/>
        <w:autoSpaceDE/>
        <w:autoSpaceDN/>
        <w:bidi w:val="0"/>
        <w:adjustRightInd/>
        <w:spacing w:line="520" w:lineRule="exact"/>
        <w:ind w:firstLine="42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shd w:val="clear" w:color="auto" w:fill="FFFFFF"/>
        </w:rPr>
        <w:t>（评审指标5）1</w:t>
      </w:r>
      <w:r>
        <w:rPr>
          <w:rFonts w:hint="eastAsia" w:ascii="仿宋_GB2312" w:hAnsi="仿宋_GB2312" w:eastAsia="仿宋_GB2312" w:cs="仿宋_GB2312"/>
          <w:color w:val="000000"/>
          <w:sz w:val="32"/>
          <w:szCs w:val="32"/>
          <w:shd w:val="clear" w:color="auto" w:fill="FFFFFF"/>
          <w:lang w:val="en-US" w:eastAsia="zh-CN"/>
        </w:rPr>
        <w:t>.</w:t>
      </w:r>
      <w:bookmarkStart w:id="9" w:name="OLE_LINK7"/>
      <w:r>
        <w:rPr>
          <w:rFonts w:hint="eastAsia" w:ascii="仿宋_GB2312" w:hAnsi="仿宋_GB2312" w:eastAsia="仿宋_GB2312" w:cs="仿宋_GB2312"/>
          <w:color w:val="000000"/>
          <w:sz w:val="32"/>
          <w:szCs w:val="32"/>
          <w:shd w:val="clear" w:color="auto" w:fill="FFFFFF"/>
        </w:rPr>
        <w:t>中标人应积极配合采购人突发事件的工作，对采购人图纸提出合理化建议。</w:t>
      </w:r>
    </w:p>
    <w:bookmarkEnd w:id="9"/>
    <w:p>
      <w:pPr>
        <w:pStyle w:val="4"/>
        <w:keepNext w:val="0"/>
        <w:keepLines w:val="0"/>
        <w:pageBreakBefore w:val="0"/>
        <w:kinsoku/>
        <w:wordWrap/>
        <w:overflowPunct/>
        <w:topLinePunct w:val="0"/>
        <w:autoSpaceDE/>
        <w:autoSpaceDN/>
        <w:bidi w:val="0"/>
        <w:adjustRightInd/>
        <w:spacing w:line="520" w:lineRule="exact"/>
        <w:ind w:firstLine="42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sz w:val="32"/>
          <w:szCs w:val="32"/>
          <w:shd w:val="clear" w:color="auto" w:fill="FFFFFF"/>
        </w:rPr>
        <w:t>（评审指标6）2</w:t>
      </w:r>
      <w:r>
        <w:rPr>
          <w:rFonts w:hint="eastAsia" w:ascii="仿宋_GB2312" w:hAnsi="仿宋_GB2312" w:eastAsia="仿宋_GB2312" w:cs="仿宋_GB2312"/>
          <w:color w:val="000000"/>
          <w:sz w:val="32"/>
          <w:szCs w:val="32"/>
          <w:shd w:val="clear" w:color="auto" w:fill="FFFFFF"/>
          <w:lang w:val="en-US" w:eastAsia="zh-CN"/>
        </w:rPr>
        <w:t>.</w:t>
      </w:r>
      <w:bookmarkStart w:id="10" w:name="OLE_LINK8"/>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中标人协助甲方完成放射工作人员防护知识培训。</w:t>
      </w:r>
    </w:p>
    <w:bookmarkEnd w:id="10"/>
    <w:p>
      <w:pPr>
        <w:pStyle w:val="4"/>
        <w:keepNext w:val="0"/>
        <w:keepLines w:val="0"/>
        <w:pageBreakBefore w:val="0"/>
        <w:kinsoku/>
        <w:wordWrap/>
        <w:overflowPunct/>
        <w:topLinePunct w:val="0"/>
        <w:autoSpaceDE/>
        <w:autoSpaceDN/>
        <w:bidi w:val="0"/>
        <w:adjustRightInd/>
        <w:spacing w:line="520" w:lineRule="exact"/>
        <w:ind w:firstLine="42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（评审指标7）3</w:t>
      </w:r>
      <w:r>
        <w:rPr>
          <w:rFonts w:hint="eastAsia" w:ascii="仿宋_GB2312" w:hAnsi="仿宋_GB2312" w:eastAsia="仿宋_GB2312" w:cs="仿宋_GB2312"/>
          <w:color w:val="000000" w:themeColor="text1"/>
          <w:sz w:val="32"/>
          <w:szCs w:val="32"/>
          <w:shd w:val="clear" w:color="auto" w:fill="FFFFFF"/>
          <w:lang w:val="en-US" w:eastAsia="zh-CN"/>
          <w14:textFill>
            <w14:solidFill>
              <w14:schemeClr w14:val="tx1"/>
            </w14:solidFill>
          </w14:textFill>
        </w:rPr>
        <w:t>.</w:t>
      </w:r>
      <w:bookmarkStart w:id="11" w:name="OLE_LINK9"/>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中标人提供建设项目辐射环保应急预案。</w:t>
      </w:r>
    </w:p>
    <w:bookmarkEnd w:id="11"/>
    <w:p>
      <w:pPr>
        <w:pStyle w:val="4"/>
        <w:keepNext w:val="0"/>
        <w:keepLines w:val="0"/>
        <w:pageBreakBefore w:val="0"/>
        <w:kinsoku/>
        <w:wordWrap/>
        <w:overflowPunct/>
        <w:topLinePunct w:val="0"/>
        <w:autoSpaceDE/>
        <w:autoSpaceDN/>
        <w:bidi w:val="0"/>
        <w:adjustRightInd/>
        <w:spacing w:line="520" w:lineRule="exact"/>
        <w:ind w:firstLine="42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（评审指标8）4</w:t>
      </w:r>
      <w:r>
        <w:rPr>
          <w:rFonts w:hint="eastAsia" w:ascii="仿宋_GB2312" w:hAnsi="仿宋_GB2312" w:eastAsia="仿宋_GB2312" w:cs="仿宋_GB2312"/>
          <w:color w:val="000000" w:themeColor="text1"/>
          <w:sz w:val="32"/>
          <w:szCs w:val="32"/>
          <w:shd w:val="clear" w:color="auto" w:fill="FFFFFF"/>
          <w:lang w:val="en-US" w:eastAsia="zh-CN"/>
          <w14:textFill>
            <w14:solidFill>
              <w14:schemeClr w14:val="tx1"/>
            </w14:solidFill>
          </w14:textFill>
        </w:rPr>
        <w:t>.</w:t>
      </w:r>
      <w:bookmarkStart w:id="12" w:name="OLE_LINK10"/>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中标人协助甲方编制各类放射卫生规章制度服务：编制《放射防护管理制度》、《辐射工作人员培训/再培训管理制度》、《辐</w:t>
      </w:r>
      <w:r>
        <w:rPr>
          <w:rFonts w:hint="eastAsia" w:ascii="仿宋_GB2312" w:hAnsi="仿宋_GB2312" w:eastAsia="仿宋_GB2312" w:cs="仿宋_GB2312"/>
          <w:color w:val="000000"/>
          <w:sz w:val="32"/>
          <w:szCs w:val="32"/>
          <w:shd w:val="clear" w:color="auto" w:fill="FFFFFF"/>
        </w:rPr>
        <w:t>射工作人员个人剂量管理制度》。</w:t>
      </w:r>
    </w:p>
    <w:bookmarkEnd w:id="12"/>
    <w:p>
      <w:pPr>
        <w:pStyle w:val="4"/>
        <w:keepNext w:val="0"/>
        <w:keepLines w:val="0"/>
        <w:pageBreakBefore w:val="0"/>
        <w:kinsoku/>
        <w:wordWrap/>
        <w:overflowPunct/>
        <w:topLinePunct w:val="0"/>
        <w:autoSpaceDE/>
        <w:autoSpaceDN/>
        <w:bidi w:val="0"/>
        <w:adjustRightInd/>
        <w:spacing w:line="520" w:lineRule="exact"/>
        <w:ind w:firstLine="42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shd w:val="clear" w:color="auto" w:fill="FFFFFF"/>
        </w:rPr>
        <w:t>（评审指标9）5</w:t>
      </w:r>
      <w:r>
        <w:rPr>
          <w:rFonts w:hint="eastAsia" w:ascii="仿宋_GB2312" w:hAnsi="仿宋_GB2312" w:eastAsia="仿宋_GB2312" w:cs="仿宋_GB2312"/>
          <w:color w:val="000000"/>
          <w:sz w:val="32"/>
          <w:szCs w:val="32"/>
          <w:shd w:val="clear" w:color="auto" w:fill="FFFFFF"/>
          <w:lang w:val="en-US" w:eastAsia="zh-CN"/>
        </w:rPr>
        <w:t>.</w:t>
      </w:r>
      <w:bookmarkStart w:id="13" w:name="OLE_LINK11"/>
      <w:r>
        <w:rPr>
          <w:rFonts w:hint="eastAsia" w:ascii="仿宋_GB2312" w:hAnsi="仿宋_GB2312" w:eastAsia="仿宋_GB2312" w:cs="仿宋_GB2312"/>
          <w:color w:val="000000"/>
          <w:sz w:val="32"/>
          <w:szCs w:val="32"/>
          <w:shd w:val="clear" w:color="auto" w:fill="FFFFFF"/>
        </w:rPr>
        <w:t>中标人供应商应自行对其派出的为本项目服务的人员进行管理，该项目服务人员遭受损害或造成他人损失的，由供应商自行负责并承担所有责任，采购人不承担任何责任。</w:t>
      </w:r>
    </w:p>
    <w:bookmarkEnd w:id="13"/>
    <w:p>
      <w:pPr>
        <w:pStyle w:val="4"/>
        <w:keepNext w:val="0"/>
        <w:keepLines w:val="0"/>
        <w:pageBreakBefore w:val="0"/>
        <w:kinsoku/>
        <w:wordWrap/>
        <w:overflowPunct/>
        <w:topLinePunct w:val="0"/>
        <w:autoSpaceDE/>
        <w:autoSpaceDN/>
        <w:bidi w:val="0"/>
        <w:adjustRightInd/>
        <w:spacing w:line="520" w:lineRule="exact"/>
        <w:ind w:firstLine="42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shd w:val="clear" w:color="auto" w:fill="FFFFFF"/>
        </w:rPr>
        <w:t>（评审指标10）6</w:t>
      </w:r>
      <w:r>
        <w:rPr>
          <w:rFonts w:hint="eastAsia" w:ascii="仿宋_GB2312" w:hAnsi="仿宋_GB2312" w:eastAsia="仿宋_GB2312" w:cs="仿宋_GB2312"/>
          <w:color w:val="000000"/>
          <w:sz w:val="32"/>
          <w:szCs w:val="32"/>
          <w:shd w:val="clear" w:color="auto" w:fill="FFFFFF"/>
          <w:lang w:val="en-US" w:eastAsia="zh-CN"/>
        </w:rPr>
        <w:t>.</w:t>
      </w:r>
      <w:bookmarkStart w:id="14" w:name="OLE_LINK12"/>
      <w:r>
        <w:rPr>
          <w:rFonts w:hint="eastAsia" w:ascii="仿宋_GB2312" w:hAnsi="仿宋_GB2312" w:eastAsia="仿宋_GB2312" w:cs="仿宋_GB2312"/>
          <w:color w:val="000000"/>
          <w:sz w:val="32"/>
          <w:szCs w:val="32"/>
          <w:shd w:val="clear" w:color="auto" w:fill="FFFFFF"/>
        </w:rPr>
        <w:t>中标人须按照医院的进度要求对设备进行预、控评，环评手续,服务清单表内项目中，如项目终止，院方将提前通知中标人，取消该项目评价，评价费用不予结算。</w:t>
      </w:r>
    </w:p>
    <w:bookmarkEnd w:id="14"/>
    <w:p>
      <w:pPr>
        <w:pStyle w:val="4"/>
        <w:keepNext w:val="0"/>
        <w:keepLines w:val="0"/>
        <w:pageBreakBefore w:val="0"/>
        <w:kinsoku/>
        <w:wordWrap/>
        <w:overflowPunct/>
        <w:topLinePunct w:val="0"/>
        <w:autoSpaceDE/>
        <w:autoSpaceDN/>
        <w:bidi w:val="0"/>
        <w:adjustRightInd/>
        <w:spacing w:line="520" w:lineRule="exact"/>
        <w:ind w:firstLine="42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shd w:val="clear" w:color="auto" w:fill="FFFFFF"/>
        </w:rPr>
        <w:t>（评审指标11）</w:t>
      </w:r>
      <w:bookmarkStart w:id="15" w:name="OLE_LINK13"/>
      <w:r>
        <w:rPr>
          <w:rFonts w:hint="eastAsia" w:ascii="仿宋_GB2312" w:hAnsi="仿宋_GB2312" w:eastAsia="仿宋_GB2312" w:cs="仿宋_GB2312"/>
          <w:color w:val="000000"/>
          <w:sz w:val="32"/>
          <w:szCs w:val="32"/>
          <w:shd w:val="clear" w:color="auto" w:fill="FFFFFF"/>
        </w:rPr>
        <w:t>7</w:t>
      </w:r>
      <w:r>
        <w:rPr>
          <w:rFonts w:hint="eastAsia" w:ascii="仿宋_GB2312" w:hAnsi="仿宋_GB2312" w:eastAsia="仿宋_GB2312" w:cs="仿宋_GB2312"/>
          <w:color w:val="000000"/>
          <w:sz w:val="32"/>
          <w:szCs w:val="32"/>
          <w:shd w:val="clear" w:color="auto" w:fill="FFFFFF"/>
          <w:lang w:val="en-US" w:eastAsia="zh-CN"/>
        </w:rPr>
        <w:t>.</w:t>
      </w:r>
      <w:bookmarkStart w:id="16" w:name="OLE_LINK21"/>
      <w:r>
        <w:rPr>
          <w:rFonts w:hint="eastAsia" w:ascii="仿宋_GB2312" w:hAnsi="仿宋_GB2312" w:eastAsia="仿宋_GB2312" w:cs="仿宋_GB2312"/>
          <w:color w:val="000000"/>
          <w:sz w:val="32"/>
          <w:szCs w:val="32"/>
          <w:shd w:val="clear" w:color="auto" w:fill="FFFFFF"/>
        </w:rPr>
        <w:t>协助业主完成各类相关许可证办理,包括但不限于与完成本项目预、控评、环评，相关竣工验收相关的事宜，直至项目完成。</w:t>
      </w:r>
      <w:bookmarkEnd w:id="16"/>
    </w:p>
    <w:bookmarkEnd w:id="15"/>
    <w:p>
      <w:pPr>
        <w:pStyle w:val="4"/>
        <w:keepNext w:val="0"/>
        <w:keepLines w:val="0"/>
        <w:pageBreakBefore w:val="0"/>
        <w:kinsoku/>
        <w:wordWrap/>
        <w:overflowPunct/>
        <w:topLinePunct w:val="0"/>
        <w:autoSpaceDE/>
        <w:autoSpaceDN/>
        <w:bidi w:val="0"/>
        <w:adjustRightInd/>
        <w:spacing w:line="520" w:lineRule="exact"/>
        <w:ind w:firstLine="42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sz w:val="32"/>
          <w:szCs w:val="32"/>
          <w:shd w:val="clear" w:color="auto" w:fill="FFFFFF"/>
        </w:rPr>
        <w:t>（评审指标12）8</w:t>
      </w:r>
      <w:r>
        <w:rPr>
          <w:rFonts w:hint="eastAsia" w:ascii="仿宋_GB2312" w:hAnsi="仿宋_GB2312" w:eastAsia="仿宋_GB2312" w:cs="仿宋_GB2312"/>
          <w:color w:val="000000"/>
          <w:sz w:val="32"/>
          <w:szCs w:val="32"/>
          <w:shd w:val="clear" w:color="auto" w:fill="FFFFFF"/>
          <w:lang w:val="en-US" w:eastAsia="zh-CN"/>
        </w:rPr>
        <w:t>.</w:t>
      </w:r>
      <w:bookmarkStart w:id="17" w:name="OLE_LINK15"/>
      <w:bookmarkStart w:id="18" w:name="OLE_LINK14"/>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中标人必须15天内完成建设项目职业病危害放射防护预评价报告编制工作；中标人必须15天内完成建设项目放射防护效果检测与评价、编制放射性职业病危害控制效果评价报告编制工作；中标人必须45天内完成符合相关要求的环境影响评价报告编制工作；中标人必须45天内完成竣工环境保护验收编制工作。配合采购人参加专家论证会、评审会，根据专家意见修改完善预评、控评、环评等，并协助完成项目验收相关工作。如中标人无法在规定时间内完成工作，招标单位有权无条件更换中标人来完成工作。</w:t>
      </w:r>
      <w:bookmarkEnd w:id="17"/>
    </w:p>
    <w:bookmarkEnd w:id="18"/>
    <w:p>
      <w:pPr>
        <w:keepNext w:val="0"/>
        <w:keepLines w:val="0"/>
        <w:pageBreakBefore w:val="0"/>
        <w:kinsoku/>
        <w:wordWrap/>
        <w:overflowPunct/>
        <w:topLinePunct w:val="0"/>
        <w:autoSpaceDE/>
        <w:autoSpaceDN/>
        <w:bidi w:val="0"/>
        <w:adjustRightInd/>
        <w:snapToGrid w:val="0"/>
        <w:spacing w:line="520" w:lineRule="exact"/>
        <w:ind w:firstLine="640" w:firstLineChars="200"/>
        <w:textAlignment w:val="auto"/>
        <w:rPr>
          <w:rFonts w:hint="eastAsia" w:ascii="仿宋_GB2312" w:hAnsi="仿宋_GB2312" w:eastAsia="仿宋_GB2312" w:cs="仿宋_GB2312"/>
          <w:color w:val="000000"/>
          <w:kern w:val="0"/>
          <w:sz w:val="32"/>
          <w:szCs w:val="32"/>
          <w:shd w:val="clear" w:color="auto" w:fill="FFFFFF"/>
        </w:rPr>
      </w:pPr>
      <w:r>
        <w:rPr>
          <w:rFonts w:hint="eastAsia" w:ascii="仿宋_GB2312" w:hAnsi="仿宋_GB2312" w:eastAsia="仿宋_GB2312" w:cs="仿宋_GB2312"/>
          <w:color w:val="000000"/>
          <w:kern w:val="0"/>
          <w:sz w:val="32"/>
          <w:szCs w:val="32"/>
          <w:shd w:val="clear" w:color="auto" w:fill="FFFFFF"/>
        </w:rPr>
        <w:t>9</w:t>
      </w:r>
      <w:r>
        <w:rPr>
          <w:rFonts w:hint="eastAsia" w:ascii="仿宋_GB2312" w:hAnsi="仿宋_GB2312" w:eastAsia="仿宋_GB2312" w:cs="仿宋_GB2312"/>
          <w:color w:val="000000"/>
          <w:kern w:val="0"/>
          <w:sz w:val="32"/>
          <w:szCs w:val="32"/>
          <w:shd w:val="clear" w:color="auto" w:fill="FFFFFF"/>
          <w:lang w:val="en-US" w:eastAsia="zh-CN"/>
        </w:rPr>
        <w:t>.</w:t>
      </w:r>
      <w:bookmarkStart w:id="19" w:name="OLE_LINK16"/>
      <w:r>
        <w:rPr>
          <w:rFonts w:hint="eastAsia" w:ascii="仿宋_GB2312" w:hAnsi="仿宋_GB2312" w:eastAsia="仿宋_GB2312" w:cs="仿宋_GB2312"/>
          <w:color w:val="000000"/>
          <w:kern w:val="0"/>
          <w:sz w:val="32"/>
          <w:szCs w:val="32"/>
          <w:shd w:val="clear" w:color="auto" w:fill="FFFFFF"/>
        </w:rPr>
        <w:t>环境影响评价报告应当符合核技术利用建设项目环境保护的有关法律、法规、规章和标准的要求，</w:t>
      </w:r>
      <w:bookmarkEnd w:id="19"/>
      <w:r>
        <w:rPr>
          <w:rFonts w:hint="eastAsia" w:ascii="仿宋_GB2312" w:hAnsi="仿宋_GB2312" w:eastAsia="仿宋_GB2312" w:cs="仿宋_GB2312"/>
          <w:color w:val="000000"/>
          <w:kern w:val="0"/>
          <w:sz w:val="32"/>
          <w:szCs w:val="32"/>
          <w:shd w:val="clear" w:color="auto" w:fill="FFFFFF"/>
        </w:rPr>
        <w:t>包括但不限于下列</w:t>
      </w:r>
    </w:p>
    <w:p>
      <w:pPr>
        <w:keepNext w:val="0"/>
        <w:keepLines w:val="0"/>
        <w:pageBreakBefore w:val="0"/>
        <w:kinsoku/>
        <w:wordWrap/>
        <w:overflowPunct/>
        <w:topLinePunct w:val="0"/>
        <w:autoSpaceDE/>
        <w:autoSpaceDN/>
        <w:bidi w:val="0"/>
        <w:adjustRightInd/>
        <w:snapToGrid w:val="0"/>
        <w:spacing w:line="520" w:lineRule="exact"/>
        <w:ind w:firstLine="640" w:firstLineChars="200"/>
        <w:textAlignment w:val="auto"/>
        <w:rPr>
          <w:rFonts w:hint="eastAsia" w:ascii="仿宋_GB2312" w:hAnsi="仿宋_GB2312" w:eastAsia="仿宋_GB2312" w:cs="仿宋_GB2312"/>
          <w:color w:val="000000"/>
          <w:kern w:val="0"/>
          <w:sz w:val="32"/>
          <w:szCs w:val="32"/>
          <w:shd w:val="clear" w:color="auto" w:fill="FFFFFF"/>
        </w:rPr>
      </w:pPr>
      <w:r>
        <w:rPr>
          <w:rFonts w:hint="eastAsia" w:ascii="仿宋_GB2312" w:hAnsi="仿宋_GB2312" w:eastAsia="仿宋_GB2312" w:cs="仿宋_GB2312"/>
          <w:color w:val="000000"/>
          <w:kern w:val="0"/>
          <w:sz w:val="32"/>
          <w:szCs w:val="32"/>
          <w:shd w:val="clear" w:color="auto" w:fill="FFFFFF"/>
        </w:rPr>
        <w:t>主要内容：</w:t>
      </w:r>
    </w:p>
    <w:p>
      <w:pPr>
        <w:keepNext w:val="0"/>
        <w:keepLines w:val="0"/>
        <w:pageBreakBefore w:val="0"/>
        <w:kinsoku/>
        <w:wordWrap/>
        <w:overflowPunct/>
        <w:topLinePunct w:val="0"/>
        <w:autoSpaceDE/>
        <w:autoSpaceDN/>
        <w:bidi w:val="0"/>
        <w:adjustRightInd/>
        <w:snapToGrid w:val="0"/>
        <w:spacing w:line="520" w:lineRule="exact"/>
        <w:ind w:firstLine="640" w:firstLineChars="200"/>
        <w:textAlignment w:val="auto"/>
        <w:rPr>
          <w:rFonts w:hint="eastAsia" w:ascii="仿宋_GB2312" w:hAnsi="仿宋_GB2312" w:eastAsia="仿宋_GB2312" w:cs="仿宋_GB2312"/>
          <w:color w:val="000000"/>
          <w:kern w:val="0"/>
          <w:sz w:val="32"/>
          <w:szCs w:val="32"/>
          <w:shd w:val="clear" w:color="auto" w:fill="FFFFFF"/>
        </w:rPr>
      </w:pPr>
      <w:r>
        <w:rPr>
          <w:rFonts w:hint="eastAsia" w:ascii="仿宋_GB2312" w:hAnsi="仿宋_GB2312" w:eastAsia="仿宋_GB2312" w:cs="仿宋_GB2312"/>
          <w:color w:val="000000"/>
          <w:kern w:val="0"/>
          <w:sz w:val="32"/>
          <w:szCs w:val="32"/>
          <w:shd w:val="clear" w:color="auto" w:fill="FFFFFF"/>
        </w:rPr>
        <w:t>（1）</w:t>
      </w:r>
      <w:bookmarkStart w:id="20" w:name="OLE_LINK22"/>
      <w:r>
        <w:rPr>
          <w:rFonts w:hint="eastAsia" w:ascii="仿宋_GB2312" w:hAnsi="仿宋_GB2312" w:eastAsia="仿宋_GB2312" w:cs="仿宋_GB2312"/>
          <w:color w:val="000000"/>
          <w:kern w:val="0"/>
          <w:sz w:val="32"/>
          <w:szCs w:val="32"/>
          <w:shd w:val="clear" w:color="auto" w:fill="FFFFFF"/>
        </w:rPr>
        <w:t>建设项目的基本情况，介绍项目适用的评价依据，确定评价标准和保护目标等</w:t>
      </w:r>
      <w:bookmarkEnd w:id="20"/>
      <w:r>
        <w:rPr>
          <w:rFonts w:hint="eastAsia" w:ascii="仿宋_GB2312" w:hAnsi="仿宋_GB2312" w:eastAsia="仿宋_GB2312" w:cs="仿宋_GB2312"/>
          <w:color w:val="000000"/>
          <w:kern w:val="0"/>
          <w:sz w:val="32"/>
          <w:szCs w:val="32"/>
          <w:shd w:val="clear" w:color="auto" w:fill="FFFFFF"/>
        </w:rPr>
        <w:t>；(</w:t>
      </w:r>
      <w:r>
        <w:rPr>
          <w:rFonts w:hint="eastAsia" w:ascii="仿宋_GB2312" w:hAnsi="仿宋_GB2312" w:eastAsia="仿宋_GB2312" w:cs="仿宋_GB2312"/>
          <w:color w:val="000000"/>
          <w:sz w:val="32"/>
          <w:szCs w:val="32"/>
          <w:shd w:val="clear" w:color="auto" w:fill="FFFFFF"/>
        </w:rPr>
        <w:t>评审指标13</w:t>
      </w:r>
      <w:r>
        <w:rPr>
          <w:rFonts w:hint="eastAsia" w:ascii="仿宋_GB2312" w:hAnsi="仿宋_GB2312" w:eastAsia="仿宋_GB2312" w:cs="仿宋_GB2312"/>
          <w:color w:val="000000"/>
          <w:kern w:val="0"/>
          <w:sz w:val="32"/>
          <w:szCs w:val="32"/>
          <w:shd w:val="clear" w:color="auto" w:fill="FFFFFF"/>
        </w:rPr>
        <w:t>)</w:t>
      </w:r>
    </w:p>
    <w:p>
      <w:pPr>
        <w:keepNext w:val="0"/>
        <w:keepLines w:val="0"/>
        <w:pageBreakBefore w:val="0"/>
        <w:kinsoku/>
        <w:wordWrap/>
        <w:overflowPunct/>
        <w:topLinePunct w:val="0"/>
        <w:autoSpaceDE/>
        <w:autoSpaceDN/>
        <w:bidi w:val="0"/>
        <w:adjustRightInd/>
        <w:snapToGrid w:val="0"/>
        <w:spacing w:line="520" w:lineRule="exact"/>
        <w:ind w:firstLine="640" w:firstLineChars="200"/>
        <w:textAlignment w:val="auto"/>
        <w:rPr>
          <w:rFonts w:hint="eastAsia" w:ascii="仿宋_GB2312" w:hAnsi="仿宋_GB2312" w:eastAsia="仿宋_GB2312" w:cs="仿宋_GB2312"/>
          <w:color w:val="000000"/>
          <w:kern w:val="0"/>
          <w:sz w:val="32"/>
          <w:szCs w:val="32"/>
          <w:shd w:val="clear" w:color="auto" w:fill="FFFFFF"/>
        </w:rPr>
      </w:pPr>
      <w:r>
        <w:rPr>
          <w:rFonts w:hint="eastAsia" w:ascii="仿宋_GB2312" w:hAnsi="仿宋_GB2312" w:eastAsia="仿宋_GB2312" w:cs="仿宋_GB2312"/>
          <w:color w:val="000000"/>
          <w:kern w:val="0"/>
          <w:sz w:val="32"/>
          <w:szCs w:val="32"/>
          <w:shd w:val="clear" w:color="auto" w:fill="FFFFFF"/>
        </w:rPr>
        <w:t>（2）</w:t>
      </w:r>
      <w:bookmarkStart w:id="21" w:name="OLE_LINK23"/>
      <w:r>
        <w:rPr>
          <w:rFonts w:hint="eastAsia" w:ascii="仿宋_GB2312" w:hAnsi="仿宋_GB2312" w:eastAsia="仿宋_GB2312" w:cs="仿宋_GB2312"/>
          <w:color w:val="000000"/>
          <w:kern w:val="0"/>
          <w:sz w:val="32"/>
          <w:szCs w:val="32"/>
          <w:shd w:val="clear" w:color="auto" w:fill="FFFFFF"/>
        </w:rPr>
        <w:t>评价范围内的环境质量和辐射水平现状。包括描述监测方案、质量保证措施、监测结果等内容，对环境现状调查结果的评价</w:t>
      </w:r>
      <w:bookmarkEnd w:id="21"/>
      <w:r>
        <w:rPr>
          <w:rFonts w:hint="eastAsia" w:ascii="仿宋_GB2312" w:hAnsi="仿宋_GB2312" w:eastAsia="仿宋_GB2312" w:cs="仿宋_GB2312"/>
          <w:color w:val="000000"/>
          <w:kern w:val="0"/>
          <w:sz w:val="32"/>
          <w:szCs w:val="32"/>
          <w:shd w:val="clear" w:color="auto" w:fill="FFFFFF"/>
        </w:rPr>
        <w:t>；(</w:t>
      </w:r>
      <w:r>
        <w:rPr>
          <w:rFonts w:hint="eastAsia" w:ascii="仿宋_GB2312" w:hAnsi="仿宋_GB2312" w:eastAsia="仿宋_GB2312" w:cs="仿宋_GB2312"/>
          <w:color w:val="000000"/>
          <w:sz w:val="32"/>
          <w:szCs w:val="32"/>
          <w:shd w:val="clear" w:color="auto" w:fill="FFFFFF"/>
        </w:rPr>
        <w:t>评审指标14</w:t>
      </w:r>
      <w:r>
        <w:rPr>
          <w:rFonts w:hint="eastAsia" w:ascii="仿宋_GB2312" w:hAnsi="仿宋_GB2312" w:eastAsia="仿宋_GB2312" w:cs="仿宋_GB2312"/>
          <w:color w:val="000000"/>
          <w:kern w:val="0"/>
          <w:sz w:val="32"/>
          <w:szCs w:val="32"/>
          <w:shd w:val="clear" w:color="auto" w:fill="FFFFFF"/>
        </w:rPr>
        <w:t>)</w:t>
      </w:r>
    </w:p>
    <w:p>
      <w:pPr>
        <w:keepNext w:val="0"/>
        <w:keepLines w:val="0"/>
        <w:pageBreakBefore w:val="0"/>
        <w:kinsoku/>
        <w:wordWrap/>
        <w:overflowPunct/>
        <w:topLinePunct w:val="0"/>
        <w:autoSpaceDE/>
        <w:autoSpaceDN/>
        <w:bidi w:val="0"/>
        <w:adjustRightInd/>
        <w:snapToGrid w:val="0"/>
        <w:spacing w:line="520" w:lineRule="exact"/>
        <w:ind w:firstLine="640" w:firstLineChars="200"/>
        <w:textAlignment w:val="auto"/>
        <w:rPr>
          <w:rFonts w:hint="eastAsia" w:ascii="仿宋_GB2312" w:hAnsi="仿宋_GB2312" w:eastAsia="仿宋_GB2312" w:cs="仿宋_GB2312"/>
          <w:color w:val="000000"/>
          <w:kern w:val="0"/>
          <w:sz w:val="32"/>
          <w:szCs w:val="32"/>
          <w:shd w:val="clear" w:color="auto" w:fill="FFFFFF"/>
        </w:rPr>
      </w:pPr>
      <w:r>
        <w:rPr>
          <w:rFonts w:hint="eastAsia" w:ascii="仿宋_GB2312" w:hAnsi="仿宋_GB2312" w:eastAsia="仿宋_GB2312" w:cs="仿宋_GB2312"/>
          <w:color w:val="000000"/>
          <w:kern w:val="0"/>
          <w:sz w:val="32"/>
          <w:szCs w:val="32"/>
          <w:shd w:val="clear" w:color="auto" w:fill="FFFFFF"/>
        </w:rPr>
        <w:t>（3）</w:t>
      </w:r>
      <w:bookmarkStart w:id="22" w:name="OLE_LINK24"/>
      <w:r>
        <w:rPr>
          <w:rFonts w:hint="eastAsia" w:ascii="仿宋_GB2312" w:hAnsi="仿宋_GB2312" w:eastAsia="仿宋_GB2312" w:cs="仿宋_GB2312"/>
          <w:color w:val="000000"/>
          <w:kern w:val="0"/>
          <w:sz w:val="32"/>
          <w:szCs w:val="32"/>
          <w:shd w:val="clear" w:color="auto" w:fill="FFFFFF"/>
        </w:rPr>
        <w:t>项目工程设备和工艺分析、污染源项描述</w:t>
      </w:r>
      <w:bookmarkEnd w:id="22"/>
      <w:r>
        <w:rPr>
          <w:rFonts w:hint="eastAsia" w:ascii="仿宋_GB2312" w:hAnsi="仿宋_GB2312" w:eastAsia="仿宋_GB2312" w:cs="仿宋_GB2312"/>
          <w:color w:val="000000"/>
          <w:kern w:val="0"/>
          <w:sz w:val="32"/>
          <w:szCs w:val="32"/>
          <w:shd w:val="clear" w:color="auto" w:fill="FFFFFF"/>
        </w:rPr>
        <w:t>；(</w:t>
      </w:r>
      <w:r>
        <w:rPr>
          <w:rFonts w:hint="eastAsia" w:ascii="仿宋_GB2312" w:hAnsi="仿宋_GB2312" w:eastAsia="仿宋_GB2312" w:cs="仿宋_GB2312"/>
          <w:color w:val="000000"/>
          <w:sz w:val="32"/>
          <w:szCs w:val="32"/>
          <w:shd w:val="clear" w:color="auto" w:fill="FFFFFF"/>
        </w:rPr>
        <w:t>评审指标15</w:t>
      </w:r>
      <w:r>
        <w:rPr>
          <w:rFonts w:hint="eastAsia" w:ascii="仿宋_GB2312" w:hAnsi="仿宋_GB2312" w:eastAsia="仿宋_GB2312" w:cs="仿宋_GB2312"/>
          <w:color w:val="000000"/>
          <w:kern w:val="0"/>
          <w:sz w:val="32"/>
          <w:szCs w:val="32"/>
          <w:shd w:val="clear" w:color="auto" w:fill="FFFFFF"/>
        </w:rPr>
        <w:t>)</w:t>
      </w:r>
    </w:p>
    <w:p>
      <w:pPr>
        <w:keepNext w:val="0"/>
        <w:keepLines w:val="0"/>
        <w:pageBreakBefore w:val="0"/>
        <w:kinsoku/>
        <w:wordWrap/>
        <w:overflowPunct/>
        <w:topLinePunct w:val="0"/>
        <w:autoSpaceDE/>
        <w:autoSpaceDN/>
        <w:bidi w:val="0"/>
        <w:adjustRightInd/>
        <w:snapToGrid w:val="0"/>
        <w:spacing w:line="520" w:lineRule="exact"/>
        <w:ind w:firstLine="640" w:firstLineChars="200"/>
        <w:textAlignment w:val="auto"/>
        <w:rPr>
          <w:rFonts w:hint="eastAsia" w:ascii="仿宋_GB2312" w:hAnsi="仿宋_GB2312" w:eastAsia="仿宋_GB2312" w:cs="仿宋_GB2312"/>
          <w:color w:val="000000"/>
          <w:kern w:val="0"/>
          <w:sz w:val="32"/>
          <w:szCs w:val="32"/>
          <w:shd w:val="clear" w:color="auto" w:fill="FFFFFF"/>
        </w:rPr>
      </w:pPr>
      <w:r>
        <w:rPr>
          <w:rFonts w:hint="eastAsia" w:ascii="仿宋_GB2312" w:hAnsi="仿宋_GB2312" w:eastAsia="仿宋_GB2312" w:cs="仿宋_GB2312"/>
          <w:color w:val="000000"/>
          <w:kern w:val="0"/>
          <w:sz w:val="32"/>
          <w:szCs w:val="32"/>
          <w:shd w:val="clear" w:color="auto" w:fill="FFFFFF"/>
        </w:rPr>
        <w:t>（4）</w:t>
      </w:r>
      <w:bookmarkStart w:id="23" w:name="OLE_LINK25"/>
      <w:r>
        <w:rPr>
          <w:rFonts w:hint="eastAsia" w:ascii="仿宋_GB2312" w:hAnsi="仿宋_GB2312" w:eastAsia="仿宋_GB2312" w:cs="仿宋_GB2312"/>
          <w:color w:val="000000"/>
          <w:kern w:val="0"/>
          <w:sz w:val="32"/>
          <w:szCs w:val="32"/>
          <w:shd w:val="clear" w:color="auto" w:fill="FFFFFF"/>
        </w:rPr>
        <w:t>描述项目工作场所辐射防护屏蔽设计、环保相关设施及其功能、三废的治理方案</w:t>
      </w:r>
      <w:bookmarkEnd w:id="23"/>
      <w:r>
        <w:rPr>
          <w:rFonts w:hint="eastAsia" w:ascii="仿宋_GB2312" w:hAnsi="仿宋_GB2312" w:eastAsia="仿宋_GB2312" w:cs="仿宋_GB2312"/>
          <w:color w:val="000000"/>
          <w:kern w:val="0"/>
          <w:sz w:val="32"/>
          <w:szCs w:val="32"/>
          <w:shd w:val="clear" w:color="auto" w:fill="FFFFFF"/>
        </w:rPr>
        <w:t>；(</w:t>
      </w:r>
      <w:r>
        <w:rPr>
          <w:rFonts w:hint="eastAsia" w:ascii="仿宋_GB2312" w:hAnsi="仿宋_GB2312" w:eastAsia="仿宋_GB2312" w:cs="仿宋_GB2312"/>
          <w:color w:val="000000"/>
          <w:sz w:val="32"/>
          <w:szCs w:val="32"/>
          <w:shd w:val="clear" w:color="auto" w:fill="FFFFFF"/>
        </w:rPr>
        <w:t>评审指标16</w:t>
      </w:r>
      <w:r>
        <w:rPr>
          <w:rFonts w:hint="eastAsia" w:ascii="仿宋_GB2312" w:hAnsi="仿宋_GB2312" w:eastAsia="仿宋_GB2312" w:cs="仿宋_GB2312"/>
          <w:color w:val="000000"/>
          <w:kern w:val="0"/>
          <w:sz w:val="32"/>
          <w:szCs w:val="32"/>
          <w:shd w:val="clear" w:color="auto" w:fill="FFFFFF"/>
        </w:rPr>
        <w:t>)</w:t>
      </w:r>
    </w:p>
    <w:p>
      <w:pPr>
        <w:keepNext w:val="0"/>
        <w:keepLines w:val="0"/>
        <w:pageBreakBefore w:val="0"/>
        <w:kinsoku/>
        <w:wordWrap/>
        <w:overflowPunct/>
        <w:topLinePunct w:val="0"/>
        <w:autoSpaceDE/>
        <w:autoSpaceDN/>
        <w:bidi w:val="0"/>
        <w:adjustRightInd/>
        <w:snapToGrid w:val="0"/>
        <w:spacing w:line="520" w:lineRule="exact"/>
        <w:ind w:firstLine="640" w:firstLineChars="200"/>
        <w:textAlignment w:val="auto"/>
        <w:rPr>
          <w:rFonts w:hint="eastAsia" w:ascii="仿宋_GB2312" w:hAnsi="仿宋_GB2312" w:eastAsia="仿宋_GB2312" w:cs="仿宋_GB2312"/>
          <w:color w:val="000000"/>
          <w:kern w:val="0"/>
          <w:sz w:val="32"/>
          <w:szCs w:val="32"/>
          <w:shd w:val="clear" w:color="auto" w:fill="FFFFFF"/>
        </w:rPr>
      </w:pPr>
      <w:r>
        <w:rPr>
          <w:rFonts w:hint="eastAsia" w:ascii="仿宋_GB2312" w:hAnsi="仿宋_GB2312" w:eastAsia="仿宋_GB2312" w:cs="仿宋_GB2312"/>
          <w:color w:val="000000"/>
          <w:kern w:val="0"/>
          <w:sz w:val="32"/>
          <w:szCs w:val="32"/>
          <w:shd w:val="clear" w:color="auto" w:fill="FFFFFF"/>
        </w:rPr>
        <w:t>（6）</w:t>
      </w:r>
      <w:bookmarkStart w:id="24" w:name="OLE_LINK26"/>
      <w:r>
        <w:rPr>
          <w:rFonts w:hint="eastAsia" w:ascii="仿宋_GB2312" w:hAnsi="仿宋_GB2312" w:eastAsia="仿宋_GB2312" w:cs="仿宋_GB2312"/>
          <w:color w:val="000000"/>
          <w:kern w:val="0"/>
          <w:sz w:val="32"/>
          <w:szCs w:val="32"/>
          <w:shd w:val="clear" w:color="auto" w:fill="FFFFFF"/>
        </w:rPr>
        <w:t>对建设项目可能造成的环境影响做出结论性意见。</w:t>
      </w:r>
      <w:bookmarkEnd w:id="24"/>
      <w:r>
        <w:rPr>
          <w:rFonts w:hint="eastAsia" w:ascii="仿宋_GB2312" w:hAnsi="仿宋_GB2312" w:eastAsia="仿宋_GB2312" w:cs="仿宋_GB2312"/>
          <w:color w:val="000000"/>
          <w:kern w:val="0"/>
          <w:sz w:val="32"/>
          <w:szCs w:val="32"/>
          <w:shd w:val="clear" w:color="auto" w:fill="FFFFFF"/>
        </w:rPr>
        <w:t>(</w:t>
      </w:r>
      <w:r>
        <w:rPr>
          <w:rFonts w:hint="eastAsia" w:ascii="仿宋_GB2312" w:hAnsi="仿宋_GB2312" w:eastAsia="仿宋_GB2312" w:cs="仿宋_GB2312"/>
          <w:color w:val="000000"/>
          <w:sz w:val="32"/>
          <w:szCs w:val="32"/>
          <w:shd w:val="clear" w:color="auto" w:fill="FFFFFF"/>
        </w:rPr>
        <w:t>评审指标17</w:t>
      </w:r>
      <w:r>
        <w:rPr>
          <w:rFonts w:hint="eastAsia" w:ascii="仿宋_GB2312" w:hAnsi="仿宋_GB2312" w:eastAsia="仿宋_GB2312" w:cs="仿宋_GB2312"/>
          <w:color w:val="000000"/>
          <w:kern w:val="0"/>
          <w:sz w:val="32"/>
          <w:szCs w:val="32"/>
          <w:shd w:val="clear" w:color="auto" w:fill="FFFFFF"/>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17B2BEF"/>
    <w:rsid w:val="273E46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 w:type="paragraph" w:customStyle="1" w:styleId="4">
    <w:name w:val="null3"/>
    <w:hidden/>
    <w:qFormat/>
    <w:uiPriority w:val="0"/>
    <w:rPr>
      <w:rFonts w:hint="eastAsia" w:asciiTheme="minorHAnsi" w:hAnsiTheme="minorHAnsi" w:eastAsiaTheme="minorEastAsia" w:cstheme="minorBidi"/>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Office_11.8.2.8576_F1E327BC-269C-435d-A152-05C5408002CA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2025-04-15T10:10:00Z</dcterms:created>
  <dc:creator>Administrator.PC-20240320MMFE</dc:creator>
  <cp:lastModifiedBy>雪平</cp:lastModifiedBy>
  <dcterms:modified xsi:type="dcterms:W3CDTF">2025-04-15T11:08:36Z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2052-11.8.2.8576</vt:lpwstr>
  </property>
</Properties>
</file>